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F3FED" w14:textId="77777777" w:rsidR="0005036B" w:rsidRPr="009900F3" w:rsidRDefault="00E313A8" w:rsidP="00510CDE">
      <w:pPr>
        <w:spacing w:before="35"/>
        <w:ind w:left="540"/>
        <w:rPr>
          <w:rFonts w:ascii="Calibri Light"/>
          <w:b/>
          <w:color w:val="5F2987"/>
          <w:sz w:val="32"/>
        </w:rPr>
      </w:pPr>
      <w:bookmarkStart w:id="0" w:name="Taking_Responsibility_for_Responsible_Co"/>
      <w:bookmarkEnd w:id="0"/>
      <w:r w:rsidRPr="009900F3">
        <w:rPr>
          <w:rFonts w:ascii="Calibri Light"/>
          <w:b/>
          <w:color w:val="5F2987"/>
          <w:sz w:val="32"/>
        </w:rPr>
        <w:t>Responsible Conduct of Research</w:t>
      </w:r>
      <w:r w:rsidR="00510CDE" w:rsidRPr="009900F3">
        <w:rPr>
          <w:rFonts w:ascii="Calibri Light"/>
          <w:b/>
          <w:color w:val="5F2987"/>
          <w:sz w:val="32"/>
        </w:rPr>
        <w:t xml:space="preserve"> Training </w:t>
      </w:r>
      <w:r w:rsidR="00A50360" w:rsidRPr="009900F3">
        <w:rPr>
          <w:rFonts w:ascii="Calibri Light"/>
          <w:b/>
          <w:color w:val="5F2987"/>
          <w:sz w:val="32"/>
        </w:rPr>
        <w:t>Syllabus</w:t>
      </w:r>
      <w:r w:rsidR="00510CDE" w:rsidRPr="009900F3">
        <w:rPr>
          <w:rFonts w:ascii="Calibri Light"/>
          <w:b/>
          <w:color w:val="5F2987"/>
          <w:sz w:val="32"/>
        </w:rPr>
        <w:t xml:space="preserve"> for Postdoctoral Scholars</w:t>
      </w:r>
    </w:p>
    <w:p w14:paraId="3D2418ED" w14:textId="77777777" w:rsidR="00A50360" w:rsidRPr="009900F3" w:rsidRDefault="00A50360" w:rsidP="00A50360">
      <w:pPr>
        <w:spacing w:before="35"/>
        <w:ind w:left="540"/>
        <w:jc w:val="center"/>
        <w:rPr>
          <w:rFonts w:ascii="Calibri Light"/>
          <w:b/>
          <w:color w:val="5F2987"/>
          <w:sz w:val="28"/>
          <w:szCs w:val="28"/>
        </w:rPr>
      </w:pPr>
      <w:r w:rsidRPr="009900F3">
        <w:rPr>
          <w:rFonts w:ascii="Calibri Light"/>
          <w:b/>
          <w:color w:val="5F2987"/>
          <w:sz w:val="28"/>
          <w:szCs w:val="28"/>
        </w:rPr>
        <w:t>Spring Semester 2019</w:t>
      </w:r>
    </w:p>
    <w:p w14:paraId="2CDD0DEC" w14:textId="77777777" w:rsidR="0005036B" w:rsidRDefault="009900F3" w:rsidP="00FB4C67">
      <w:pPr>
        <w:spacing w:before="28" w:line="261" w:lineRule="auto"/>
        <w:ind w:left="1196" w:right="1167"/>
        <w:jc w:val="center"/>
        <w:rPr>
          <w:rFonts w:ascii="Calibri Light"/>
          <w:i/>
        </w:rPr>
      </w:pPr>
      <w:r>
        <w:rPr>
          <w:rFonts w:ascii="Calibri Light"/>
          <w:i/>
        </w:rPr>
        <w:t>Training</w:t>
      </w:r>
      <w:r w:rsidR="00E313A8">
        <w:rPr>
          <w:rFonts w:ascii="Calibri Light"/>
          <w:i/>
        </w:rPr>
        <w:t xml:space="preserve"> to guide postdoctoral fellows and junior faculty in mentoring others on the ethics and responsibilities of conducting research </w:t>
      </w:r>
    </w:p>
    <w:p w14:paraId="376BD7B3" w14:textId="77777777" w:rsidR="0005036B" w:rsidRDefault="00510CDE">
      <w:pPr>
        <w:spacing w:before="176"/>
        <w:ind w:left="1148" w:right="1167"/>
        <w:jc w:val="center"/>
        <w:rPr>
          <w:rFonts w:ascii="Calibri Light"/>
        </w:rPr>
      </w:pPr>
      <w:r>
        <w:rPr>
          <w:rFonts w:ascii="Calibri Light"/>
        </w:rPr>
        <w:t>Fri</w:t>
      </w:r>
      <w:r w:rsidR="00E313A8">
        <w:rPr>
          <w:rFonts w:ascii="Calibri Light"/>
        </w:rPr>
        <w:t xml:space="preserve">days, </w:t>
      </w:r>
      <w:r>
        <w:rPr>
          <w:rFonts w:ascii="Calibri Light"/>
        </w:rPr>
        <w:t>11:30am</w:t>
      </w:r>
      <w:r w:rsidR="00E313A8">
        <w:rPr>
          <w:rFonts w:ascii="Calibri Light"/>
        </w:rPr>
        <w:t>-</w:t>
      </w:r>
      <w:r>
        <w:rPr>
          <w:rFonts w:ascii="Calibri Light"/>
        </w:rPr>
        <w:t>1:30</w:t>
      </w:r>
      <w:r w:rsidR="00A50360">
        <w:rPr>
          <w:rFonts w:ascii="Calibri Light"/>
        </w:rPr>
        <w:t>pm</w:t>
      </w:r>
    </w:p>
    <w:p w14:paraId="3F3EB403" w14:textId="31FA0A1A" w:rsidR="00A50360" w:rsidRDefault="00A50360">
      <w:pPr>
        <w:ind w:left="2518" w:right="2535"/>
        <w:jc w:val="center"/>
        <w:rPr>
          <w:rFonts w:ascii="Calibri Light"/>
        </w:rPr>
      </w:pPr>
      <w:r>
        <w:rPr>
          <w:rFonts w:ascii="Calibri Light"/>
        </w:rPr>
        <w:t>March 15th</w:t>
      </w:r>
      <w:r w:rsidR="00E313A8">
        <w:rPr>
          <w:rFonts w:ascii="Calibri Light"/>
        </w:rPr>
        <w:t xml:space="preserve"> through </w:t>
      </w:r>
      <w:r>
        <w:rPr>
          <w:rFonts w:ascii="Calibri Light"/>
        </w:rPr>
        <w:t xml:space="preserve">April </w:t>
      </w:r>
      <w:r w:rsidR="00437172">
        <w:rPr>
          <w:rFonts w:ascii="Calibri Light"/>
        </w:rPr>
        <w:t>26</w:t>
      </w:r>
      <w:r>
        <w:rPr>
          <w:rFonts w:ascii="Calibri Light"/>
        </w:rPr>
        <w:t>th</w:t>
      </w:r>
      <w:r w:rsidR="00E313A8">
        <w:rPr>
          <w:rFonts w:ascii="Calibri Light"/>
        </w:rPr>
        <w:t>, 201</w:t>
      </w:r>
      <w:r>
        <w:rPr>
          <w:rFonts w:ascii="Calibri Light"/>
        </w:rPr>
        <w:t>9</w:t>
      </w:r>
      <w:r w:rsidR="00E313A8">
        <w:rPr>
          <w:rFonts w:ascii="Calibri Light"/>
        </w:rPr>
        <w:t xml:space="preserve"> </w:t>
      </w:r>
    </w:p>
    <w:p w14:paraId="638CA397" w14:textId="77777777" w:rsidR="0005036B" w:rsidRDefault="00510CDE">
      <w:pPr>
        <w:ind w:left="2518" w:right="2535"/>
        <w:jc w:val="center"/>
        <w:rPr>
          <w:rFonts w:ascii="Calibri Light"/>
        </w:rPr>
      </w:pPr>
      <w:r>
        <w:rPr>
          <w:rFonts w:ascii="Calibri Light"/>
        </w:rPr>
        <w:t xml:space="preserve">ECU Health Sciences </w:t>
      </w:r>
      <w:r w:rsidR="00E313A8">
        <w:rPr>
          <w:rFonts w:ascii="Calibri Light"/>
        </w:rPr>
        <w:t>Campus</w:t>
      </w:r>
    </w:p>
    <w:p w14:paraId="256CC328" w14:textId="77777777" w:rsidR="0005036B" w:rsidRPr="00510CDE" w:rsidRDefault="00510CDE">
      <w:pPr>
        <w:pStyle w:val="BodyText"/>
        <w:spacing w:before="5"/>
        <w:rPr>
          <w:rFonts w:ascii="Calibri Light"/>
          <w:sz w:val="22"/>
          <w:szCs w:val="22"/>
        </w:rPr>
      </w:pPr>
      <w:r>
        <w:rPr>
          <w:rFonts w:ascii="Calibri Light"/>
          <w:sz w:val="32"/>
        </w:rPr>
        <w:tab/>
      </w:r>
      <w:r>
        <w:rPr>
          <w:rFonts w:ascii="Calibri Light"/>
          <w:sz w:val="32"/>
        </w:rPr>
        <w:tab/>
      </w:r>
      <w:r>
        <w:rPr>
          <w:rFonts w:ascii="Calibri Light"/>
          <w:sz w:val="32"/>
        </w:rPr>
        <w:tab/>
      </w:r>
      <w:r>
        <w:rPr>
          <w:rFonts w:ascii="Calibri Light"/>
          <w:sz w:val="32"/>
        </w:rPr>
        <w:tab/>
      </w:r>
      <w:r>
        <w:rPr>
          <w:rFonts w:ascii="Calibri Light"/>
          <w:sz w:val="32"/>
        </w:rPr>
        <w:tab/>
      </w:r>
      <w:r>
        <w:rPr>
          <w:rFonts w:ascii="Calibri Light"/>
          <w:sz w:val="32"/>
        </w:rPr>
        <w:tab/>
      </w:r>
      <w:r w:rsidR="00AE3D53">
        <w:rPr>
          <w:rFonts w:ascii="Calibri Light"/>
          <w:sz w:val="22"/>
          <w:szCs w:val="22"/>
        </w:rPr>
        <w:t xml:space="preserve">Location:  </w:t>
      </w:r>
      <w:proofErr w:type="spellStart"/>
      <w:r w:rsidR="00AE3D53">
        <w:rPr>
          <w:rFonts w:ascii="Calibri Light"/>
          <w:sz w:val="22"/>
          <w:szCs w:val="22"/>
        </w:rPr>
        <w:t>Laupus</w:t>
      </w:r>
      <w:proofErr w:type="spellEnd"/>
      <w:r w:rsidR="00AE3D53">
        <w:rPr>
          <w:rFonts w:ascii="Calibri Light"/>
          <w:sz w:val="22"/>
          <w:szCs w:val="22"/>
        </w:rPr>
        <w:t xml:space="preserve"> Library</w:t>
      </w:r>
    </w:p>
    <w:p w14:paraId="58878D34" w14:textId="77777777" w:rsidR="00510CDE" w:rsidRDefault="00510CDE">
      <w:pPr>
        <w:ind w:left="740"/>
        <w:rPr>
          <w:rFonts w:ascii="Calibri Light"/>
          <w:color w:val="767DBC"/>
          <w:sz w:val="24"/>
        </w:rPr>
      </w:pPr>
      <w:bookmarkStart w:id="1" w:name="COURSE_CO-DIRECTORS:"/>
      <w:bookmarkEnd w:id="1"/>
    </w:p>
    <w:p w14:paraId="6340DC28" w14:textId="77777777" w:rsidR="00510CDE" w:rsidRPr="00EF4791" w:rsidRDefault="001764DC" w:rsidP="00EF4791">
      <w:pPr>
        <w:shd w:val="clear" w:color="auto" w:fill="C1ABD6"/>
        <w:ind w:left="740"/>
        <w:rPr>
          <w:rFonts w:ascii="Calibri Light"/>
          <w:b/>
          <w:color w:val="000000" w:themeColor="text1"/>
          <w:sz w:val="24"/>
        </w:rPr>
      </w:pPr>
      <w:r w:rsidRPr="00EF4791">
        <w:rPr>
          <w:rFonts w:ascii="Calibri Light"/>
          <w:b/>
          <w:color w:val="000000" w:themeColor="text1"/>
          <w:sz w:val="24"/>
        </w:rPr>
        <w:t>RCR PROGRAM CONTACTS</w:t>
      </w:r>
      <w:r w:rsidR="00510CDE" w:rsidRPr="00EF4791">
        <w:rPr>
          <w:rFonts w:ascii="Calibri Light"/>
          <w:b/>
          <w:color w:val="000000" w:themeColor="text1"/>
          <w:sz w:val="24"/>
        </w:rPr>
        <w:t>:</w:t>
      </w:r>
    </w:p>
    <w:p w14:paraId="4A4AC352" w14:textId="77777777" w:rsidR="00510CDE" w:rsidRPr="009900F3" w:rsidRDefault="00510CDE">
      <w:pPr>
        <w:ind w:left="740"/>
        <w:rPr>
          <w:rFonts w:ascii="Calibri Light"/>
          <w:color w:val="5F2987"/>
          <w:sz w:val="24"/>
        </w:rPr>
      </w:pPr>
    </w:p>
    <w:p w14:paraId="313403FF" w14:textId="77777777" w:rsidR="00510CDE" w:rsidRPr="00D079A5" w:rsidRDefault="00510CDE">
      <w:pPr>
        <w:ind w:left="740"/>
        <w:rPr>
          <w:rFonts w:asciiTheme="minorHAnsi" w:hAnsiTheme="minorHAnsi" w:cstheme="minorHAnsi"/>
          <w:color w:val="767DBC"/>
        </w:rPr>
      </w:pPr>
      <w:r w:rsidRPr="009900F3">
        <w:rPr>
          <w:rFonts w:asciiTheme="minorHAnsi" w:hAnsiTheme="minorHAnsi" w:cstheme="minorHAnsi"/>
          <w:color w:val="5F2987"/>
        </w:rPr>
        <w:t xml:space="preserve">Deb Elek, </w:t>
      </w:r>
      <w:proofErr w:type="spellStart"/>
      <w:r w:rsidRPr="009900F3">
        <w:rPr>
          <w:rFonts w:asciiTheme="minorHAnsi" w:hAnsiTheme="minorHAnsi" w:cstheme="minorHAnsi"/>
          <w:color w:val="5F2987"/>
        </w:rPr>
        <w:t>MSEd</w:t>
      </w:r>
      <w:proofErr w:type="spellEnd"/>
      <w:r w:rsidR="00B2126E">
        <w:rPr>
          <w:rFonts w:asciiTheme="minorHAnsi" w:hAnsiTheme="minorHAnsi" w:cstheme="minorHAnsi"/>
          <w:color w:val="5F2987"/>
        </w:rPr>
        <w:t>, CIP</w:t>
      </w:r>
      <w:r w:rsidRPr="00D079A5">
        <w:rPr>
          <w:rFonts w:asciiTheme="minorHAnsi" w:hAnsiTheme="minorHAnsi" w:cstheme="minorHAnsi"/>
          <w:color w:val="767DBC"/>
        </w:rPr>
        <w:tab/>
      </w:r>
      <w:r w:rsidRPr="00D079A5">
        <w:rPr>
          <w:rFonts w:asciiTheme="minorHAnsi" w:hAnsiTheme="minorHAnsi" w:cstheme="minorHAnsi"/>
          <w:color w:val="767DBC"/>
        </w:rPr>
        <w:tab/>
      </w:r>
      <w:r w:rsidR="00933411">
        <w:rPr>
          <w:rFonts w:asciiTheme="minorHAnsi" w:hAnsiTheme="minorHAnsi" w:cstheme="minorHAnsi"/>
          <w:color w:val="767DBC"/>
        </w:rPr>
        <w:tab/>
      </w:r>
      <w:r w:rsidRPr="00933411">
        <w:rPr>
          <w:rFonts w:asciiTheme="minorHAnsi" w:hAnsiTheme="minorHAnsi" w:cstheme="minorHAnsi"/>
          <w:sz w:val="20"/>
          <w:szCs w:val="20"/>
        </w:rPr>
        <w:t>Director, Office of Research Integrity and Compliance</w:t>
      </w:r>
    </w:p>
    <w:p w14:paraId="338A13FF" w14:textId="77777777" w:rsidR="00510CDE" w:rsidRDefault="00510CDE">
      <w:pPr>
        <w:ind w:left="740"/>
        <w:rPr>
          <w:rFonts w:ascii="Calibri Light"/>
          <w:color w:val="767DBC"/>
          <w:sz w:val="24"/>
        </w:rPr>
      </w:pPr>
      <w:r w:rsidRPr="009900F3">
        <w:rPr>
          <w:rFonts w:asciiTheme="minorHAnsi" w:hAnsiTheme="minorHAnsi" w:cstheme="minorHAnsi"/>
          <w:color w:val="5F2987"/>
        </w:rPr>
        <w:t>Robert Haberstroh, MA</w:t>
      </w:r>
      <w:r w:rsidRPr="009900F3">
        <w:rPr>
          <w:rFonts w:ascii="Calibri Light"/>
          <w:color w:val="5F2987"/>
          <w:sz w:val="24"/>
        </w:rPr>
        <w:tab/>
      </w:r>
      <w:r w:rsidR="00933411">
        <w:rPr>
          <w:rFonts w:ascii="Calibri Light"/>
          <w:color w:val="767DBC"/>
          <w:sz w:val="24"/>
        </w:rPr>
        <w:tab/>
      </w:r>
      <w:r w:rsidR="00B2126E">
        <w:rPr>
          <w:rFonts w:ascii="Calibri Light"/>
          <w:color w:val="767DBC"/>
          <w:sz w:val="24"/>
        </w:rPr>
        <w:tab/>
      </w:r>
      <w:r w:rsidRPr="00510CDE">
        <w:rPr>
          <w:rFonts w:asciiTheme="minorHAnsi" w:hAnsiTheme="minorHAnsi" w:cstheme="minorHAnsi"/>
          <w:sz w:val="20"/>
          <w:szCs w:val="20"/>
        </w:rPr>
        <w:t>University Program Associate, Conflicts of Interest</w:t>
      </w:r>
    </w:p>
    <w:p w14:paraId="532DE69E" w14:textId="77777777" w:rsidR="0005036B" w:rsidRDefault="0005036B">
      <w:pPr>
        <w:pStyle w:val="BodyText"/>
        <w:spacing w:before="11"/>
        <w:rPr>
          <w:sz w:val="29"/>
        </w:rPr>
      </w:pPr>
    </w:p>
    <w:p w14:paraId="22F51218" w14:textId="77777777" w:rsidR="0005036B" w:rsidRPr="00EF4791" w:rsidRDefault="00E313A8" w:rsidP="00EF4791">
      <w:pPr>
        <w:pStyle w:val="Heading1"/>
        <w:shd w:val="clear" w:color="auto" w:fill="C1ABD6"/>
        <w:spacing w:before="1"/>
        <w:rPr>
          <w:b/>
          <w:color w:val="000000" w:themeColor="text1"/>
        </w:rPr>
      </w:pPr>
      <w:bookmarkStart w:id="2" w:name="OTHER_PARTICIPATING_INSTRUCTORS:"/>
      <w:bookmarkEnd w:id="2"/>
      <w:r w:rsidRPr="00EF4791">
        <w:rPr>
          <w:b/>
          <w:color w:val="000000" w:themeColor="text1"/>
        </w:rPr>
        <w:t>PARTICIPATING INSTRUCTORS:</w:t>
      </w:r>
    </w:p>
    <w:p w14:paraId="2EC3DC44" w14:textId="77777777" w:rsidR="0075391A" w:rsidRPr="00E439DD" w:rsidRDefault="0075391A">
      <w:pPr>
        <w:pStyle w:val="Heading1"/>
        <w:spacing w:before="1"/>
        <w:rPr>
          <w:color w:val="5F2987"/>
        </w:rPr>
      </w:pPr>
    </w:p>
    <w:p w14:paraId="2AE5E35D" w14:textId="77777777" w:rsidR="00582FD4" w:rsidRDefault="00582FD4" w:rsidP="005C0498">
      <w:pPr>
        <w:pStyle w:val="BodyText"/>
        <w:tabs>
          <w:tab w:val="left" w:pos="3619"/>
        </w:tabs>
        <w:spacing w:before="26" w:line="259" w:lineRule="auto"/>
        <w:ind w:left="739" w:right="330"/>
      </w:pPr>
      <w:r>
        <w:t>Cecil</w:t>
      </w:r>
      <w:r w:rsidR="00573D42">
        <w:t>e</w:t>
      </w:r>
      <w:r>
        <w:t xml:space="preserve"> Baccanale, DVM</w:t>
      </w:r>
      <w:r w:rsidR="007010F5">
        <w:tab/>
      </w:r>
      <w:r w:rsidR="00C173FC">
        <w:tab/>
      </w:r>
      <w:r w:rsidR="005C0498">
        <w:t>Clinical Associate Professor, Department of Comparative Medicine</w:t>
      </w:r>
    </w:p>
    <w:p w14:paraId="50502546" w14:textId="77777777" w:rsidR="00582FD4" w:rsidRDefault="00582FD4">
      <w:pPr>
        <w:pStyle w:val="BodyText"/>
        <w:tabs>
          <w:tab w:val="left" w:pos="3619"/>
        </w:tabs>
        <w:spacing w:before="26" w:line="259" w:lineRule="auto"/>
        <w:ind w:left="739" w:right="2311"/>
      </w:pPr>
      <w:r>
        <w:t>Kent Briley</w:t>
      </w:r>
      <w:r w:rsidR="000839A9">
        <w:t>, MSW</w:t>
      </w:r>
      <w:r w:rsidR="005C0498">
        <w:tab/>
      </w:r>
      <w:r w:rsidR="00C173FC">
        <w:tab/>
      </w:r>
      <w:r w:rsidR="005C0498">
        <w:t xml:space="preserve">Director, </w:t>
      </w:r>
      <w:r w:rsidR="00CA2B35">
        <w:t xml:space="preserve">IRB </w:t>
      </w:r>
      <w:r w:rsidR="005C0498">
        <w:t>Post-approval Monitoring</w:t>
      </w:r>
    </w:p>
    <w:p w14:paraId="2DB2DB01" w14:textId="775BCA9A" w:rsidR="00F9280F" w:rsidRDefault="00F9280F" w:rsidP="00527ABB">
      <w:pPr>
        <w:pStyle w:val="BodyText"/>
        <w:tabs>
          <w:tab w:val="left" w:pos="3619"/>
        </w:tabs>
        <w:spacing w:before="26" w:line="259" w:lineRule="auto"/>
        <w:ind w:left="739" w:right="327"/>
      </w:pPr>
      <w:r>
        <w:t>Gaelle Deshayes</w:t>
      </w:r>
      <w:r w:rsidR="004576A5">
        <w:t>, PhD</w:t>
      </w:r>
      <w:r w:rsidR="004576A5">
        <w:tab/>
      </w:r>
      <w:r w:rsidR="00C173FC">
        <w:tab/>
      </w:r>
      <w:r w:rsidR="004576A5">
        <w:t>Lab Safety Specialist</w:t>
      </w:r>
      <w:r w:rsidR="00527ABB">
        <w:t>, Environmental Health &amp; Safety</w:t>
      </w:r>
    </w:p>
    <w:p w14:paraId="41887068" w14:textId="32C57260" w:rsidR="008712C7" w:rsidRDefault="008712C7" w:rsidP="00C173FC">
      <w:pPr>
        <w:pStyle w:val="BodyText"/>
        <w:tabs>
          <w:tab w:val="left" w:pos="3619"/>
        </w:tabs>
        <w:spacing w:before="26" w:line="259" w:lineRule="auto"/>
        <w:ind w:left="739" w:right="60"/>
      </w:pPr>
      <w:r>
        <w:t>Daniel Gregory</w:t>
      </w:r>
      <w:r w:rsidR="00C173FC">
        <w:t>, EAR/ITAR (</w:t>
      </w:r>
      <w:proofErr w:type="spellStart"/>
      <w:r w:rsidR="00C173FC">
        <w:t>ECoP</w:t>
      </w:r>
      <w:proofErr w:type="spellEnd"/>
      <w:r w:rsidR="00C173FC">
        <w:t>®)</w:t>
      </w:r>
      <w:r>
        <w:tab/>
      </w:r>
      <w:r w:rsidR="00C173FC">
        <w:tab/>
      </w:r>
      <w:r>
        <w:t>Export Control Specialist</w:t>
      </w:r>
      <w:r w:rsidR="00527ABB">
        <w:t>, REDE</w:t>
      </w:r>
    </w:p>
    <w:p w14:paraId="2A4D24B8" w14:textId="77777777" w:rsidR="00582FD4" w:rsidRDefault="00582FD4" w:rsidP="005C0498">
      <w:pPr>
        <w:pStyle w:val="BodyText"/>
        <w:tabs>
          <w:tab w:val="left" w:pos="3619"/>
        </w:tabs>
        <w:spacing w:before="26" w:line="259" w:lineRule="auto"/>
        <w:ind w:left="739" w:right="330"/>
      </w:pPr>
      <w:r>
        <w:t>Robert Haberstroh, MA</w:t>
      </w:r>
      <w:r w:rsidR="005C0498">
        <w:tab/>
      </w:r>
      <w:r w:rsidR="00C173FC">
        <w:tab/>
      </w:r>
      <w:r w:rsidR="005C0498">
        <w:t>Conflicts of Interest Analyst, Office of Research Integrity and Compliance</w:t>
      </w:r>
    </w:p>
    <w:p w14:paraId="6C865FA3" w14:textId="77777777" w:rsidR="00BD3F08" w:rsidRDefault="00BD3F08" w:rsidP="005C0498">
      <w:pPr>
        <w:pStyle w:val="BodyText"/>
        <w:tabs>
          <w:tab w:val="left" w:pos="3619"/>
        </w:tabs>
        <w:spacing w:before="26" w:line="259" w:lineRule="auto"/>
        <w:ind w:left="739" w:right="330"/>
      </w:pPr>
      <w:r>
        <w:t>Greg Hassler, PhD, JD</w:t>
      </w:r>
      <w:r>
        <w:tab/>
      </w:r>
      <w:r w:rsidR="00C173FC">
        <w:tab/>
      </w:r>
      <w:r w:rsidR="007E4C18">
        <w:t>Teaching Assistant Professor, Bioethics</w:t>
      </w:r>
    </w:p>
    <w:p w14:paraId="7A0FE447" w14:textId="77777777" w:rsidR="00582FD4" w:rsidRDefault="00582FD4">
      <w:pPr>
        <w:pStyle w:val="BodyText"/>
        <w:tabs>
          <w:tab w:val="left" w:pos="3619"/>
        </w:tabs>
        <w:spacing w:before="26" w:line="259" w:lineRule="auto"/>
        <w:ind w:left="739" w:right="2311"/>
      </w:pPr>
      <w:r>
        <w:t>Joseph Houmard, PhD</w:t>
      </w:r>
      <w:r w:rsidR="005C0498">
        <w:tab/>
      </w:r>
      <w:r w:rsidR="00C173FC">
        <w:tab/>
      </w:r>
      <w:r w:rsidR="005C0498">
        <w:t>Professor, Department of Kinesiology</w:t>
      </w:r>
    </w:p>
    <w:p w14:paraId="4EB55F91" w14:textId="77777777" w:rsidR="00582FD4" w:rsidRDefault="00582FD4">
      <w:pPr>
        <w:pStyle w:val="BodyText"/>
        <w:tabs>
          <w:tab w:val="left" w:pos="3619"/>
        </w:tabs>
        <w:spacing w:before="26" w:line="259" w:lineRule="auto"/>
        <w:ind w:left="739" w:right="2311"/>
      </w:pPr>
      <w:r>
        <w:t>Dar</w:t>
      </w:r>
      <w:r w:rsidR="005C0498">
        <w:t>re</w:t>
      </w:r>
      <w:r>
        <w:t>ll Neufer</w:t>
      </w:r>
      <w:r w:rsidR="005C0498">
        <w:t>, PhD</w:t>
      </w:r>
      <w:r w:rsidR="005C0498">
        <w:tab/>
      </w:r>
      <w:r w:rsidR="00C173FC">
        <w:tab/>
      </w:r>
      <w:r w:rsidR="005C0498">
        <w:t>Professor, Department of Physiology</w:t>
      </w:r>
    </w:p>
    <w:p w14:paraId="1F202D8C" w14:textId="77777777" w:rsidR="00582FD4" w:rsidRDefault="00582FD4" w:rsidP="005C0498">
      <w:pPr>
        <w:pStyle w:val="BodyText"/>
        <w:tabs>
          <w:tab w:val="left" w:pos="3619"/>
        </w:tabs>
        <w:spacing w:before="26" w:line="259" w:lineRule="auto"/>
        <w:ind w:left="739" w:right="870"/>
      </w:pPr>
      <w:r>
        <w:t>Dorcas O’Rourke</w:t>
      </w:r>
      <w:r w:rsidR="00E313A8">
        <w:t>,</w:t>
      </w:r>
      <w:r w:rsidR="00E313A8">
        <w:rPr>
          <w:spacing w:val="-2"/>
        </w:rPr>
        <w:t xml:space="preserve"> </w:t>
      </w:r>
      <w:r w:rsidR="00E313A8">
        <w:t>DV</w:t>
      </w:r>
      <w:r w:rsidR="005C0498">
        <w:t>M</w:t>
      </w:r>
      <w:r w:rsidR="00E313A8">
        <w:tab/>
      </w:r>
      <w:r w:rsidR="00C173FC">
        <w:tab/>
      </w:r>
      <w:r w:rsidR="005C0498">
        <w:t>Department Chair, Department of Comparative Medicine</w:t>
      </w:r>
    </w:p>
    <w:p w14:paraId="30800E9B" w14:textId="77777777" w:rsidR="00CD40D6" w:rsidRDefault="00CD40D6" w:rsidP="005C0498">
      <w:pPr>
        <w:pStyle w:val="BodyText"/>
        <w:tabs>
          <w:tab w:val="left" w:pos="3619"/>
        </w:tabs>
        <w:spacing w:before="26" w:line="259" w:lineRule="auto"/>
        <w:ind w:left="739" w:right="870"/>
      </w:pPr>
      <w:r>
        <w:t>Russ Price, PhD</w:t>
      </w:r>
      <w:r w:rsidR="00011C80">
        <w:tab/>
      </w:r>
      <w:r w:rsidR="00C173FC">
        <w:tab/>
      </w:r>
      <w:r w:rsidR="00011C80">
        <w:t>Associate Dean, Research and Graduate Studies, BSOM</w:t>
      </w:r>
    </w:p>
    <w:p w14:paraId="3BBD135F" w14:textId="77777777" w:rsidR="002542B2" w:rsidRDefault="002542B2" w:rsidP="005C0498">
      <w:pPr>
        <w:pStyle w:val="BodyText"/>
        <w:tabs>
          <w:tab w:val="left" w:pos="3619"/>
        </w:tabs>
        <w:spacing w:before="26" w:line="259" w:lineRule="auto"/>
        <w:ind w:left="739" w:right="870"/>
      </w:pPr>
      <w:r>
        <w:t>Carlyle Rogers</w:t>
      </w:r>
      <w:r w:rsidR="008272E3">
        <w:t>, PhD</w:t>
      </w:r>
      <w:r>
        <w:tab/>
      </w:r>
      <w:r w:rsidR="00C173FC">
        <w:tab/>
      </w:r>
      <w:r>
        <w:t>Licensin</w:t>
      </w:r>
      <w:r w:rsidR="00270768">
        <w:t>g Associate, Licensing &amp; Commercialization</w:t>
      </w:r>
    </w:p>
    <w:p w14:paraId="2234F3F3" w14:textId="77777777" w:rsidR="00582FD4" w:rsidRDefault="00582FD4" w:rsidP="005C0498">
      <w:pPr>
        <w:pStyle w:val="BodyText"/>
        <w:tabs>
          <w:tab w:val="left" w:pos="3619"/>
        </w:tabs>
        <w:spacing w:before="26" w:line="259" w:lineRule="auto"/>
        <w:ind w:left="739" w:right="870"/>
      </w:pPr>
      <w:r>
        <w:t>Samuel Sears, PhD</w:t>
      </w:r>
      <w:r w:rsidR="005C0498">
        <w:tab/>
      </w:r>
      <w:r w:rsidR="00C173FC">
        <w:tab/>
      </w:r>
      <w:r w:rsidR="005C0498">
        <w:t>Professor, Department of Psychology and COI Committee Chair</w:t>
      </w:r>
    </w:p>
    <w:p w14:paraId="647F80B3" w14:textId="77777777" w:rsidR="000839A9" w:rsidRDefault="000839A9" w:rsidP="005C0498">
      <w:pPr>
        <w:pStyle w:val="BodyText"/>
        <w:tabs>
          <w:tab w:val="left" w:pos="3619"/>
        </w:tabs>
        <w:spacing w:before="26" w:line="259" w:lineRule="auto"/>
        <w:ind w:left="739" w:right="870"/>
      </w:pPr>
      <w:r>
        <w:t xml:space="preserve">Kerry Sewell, </w:t>
      </w:r>
      <w:r w:rsidR="001623AA">
        <w:t>MSLS</w:t>
      </w:r>
      <w:r>
        <w:tab/>
      </w:r>
      <w:r w:rsidR="00C173FC">
        <w:tab/>
      </w:r>
      <w:r>
        <w:t xml:space="preserve">Research Assistant Professor, </w:t>
      </w:r>
      <w:proofErr w:type="spellStart"/>
      <w:r>
        <w:t>Laupus</w:t>
      </w:r>
      <w:proofErr w:type="spellEnd"/>
      <w:r>
        <w:t xml:space="preserve"> Library</w:t>
      </w:r>
    </w:p>
    <w:p w14:paraId="0A79418D" w14:textId="77777777" w:rsidR="00F9280F" w:rsidRDefault="00F9280F" w:rsidP="005C0498">
      <w:pPr>
        <w:pStyle w:val="BodyText"/>
        <w:tabs>
          <w:tab w:val="left" w:pos="3619"/>
        </w:tabs>
        <w:spacing w:before="26" w:line="259" w:lineRule="auto"/>
        <w:ind w:left="739" w:right="870"/>
      </w:pPr>
      <w:r>
        <w:t>Kelly Shook</w:t>
      </w:r>
      <w:r w:rsidR="004576A5">
        <w:t>, MS</w:t>
      </w:r>
      <w:r w:rsidR="00DD5261">
        <w:t>,</w:t>
      </w:r>
      <w:r w:rsidR="004576A5">
        <w:t xml:space="preserve"> AOES</w:t>
      </w:r>
      <w:r w:rsidR="004576A5">
        <w:tab/>
      </w:r>
      <w:r w:rsidR="00C173FC">
        <w:tab/>
      </w:r>
      <w:r w:rsidR="004576A5">
        <w:t>Health Sciences Coordinator, Environmental Health &amp; Safety</w:t>
      </w:r>
    </w:p>
    <w:p w14:paraId="68D46EA0" w14:textId="77777777" w:rsidR="00667332" w:rsidRDefault="00582FD4">
      <w:pPr>
        <w:pStyle w:val="BodyText"/>
        <w:tabs>
          <w:tab w:val="left" w:pos="3619"/>
        </w:tabs>
        <w:spacing w:before="26" w:line="259" w:lineRule="auto"/>
        <w:ind w:left="739" w:right="2311"/>
      </w:pPr>
      <w:r>
        <w:t>Suzanne Sparrow</w:t>
      </w:r>
      <w:r w:rsidR="00C958AB">
        <w:t>, MPH</w:t>
      </w:r>
      <w:r w:rsidR="00E313A8">
        <w:tab/>
      </w:r>
      <w:r w:rsidR="00C173FC">
        <w:tab/>
      </w:r>
      <w:r w:rsidR="00667332">
        <w:t xml:space="preserve">Director, </w:t>
      </w:r>
      <w:r w:rsidR="009A3E16">
        <w:t>Human Subject Protection Program</w:t>
      </w:r>
    </w:p>
    <w:p w14:paraId="38A4D701" w14:textId="77777777" w:rsidR="00573D42" w:rsidRDefault="00582FD4" w:rsidP="00270768">
      <w:pPr>
        <w:pStyle w:val="BodyText"/>
        <w:tabs>
          <w:tab w:val="left" w:pos="3619"/>
        </w:tabs>
        <w:spacing w:before="26" w:line="259" w:lineRule="auto"/>
        <w:ind w:left="739" w:right="600"/>
      </w:pPr>
      <w:r>
        <w:t>Mart</w:t>
      </w:r>
      <w:r w:rsidR="005C0498">
        <w:t>i</w:t>
      </w:r>
      <w:r>
        <w:t xml:space="preserve"> Van Scott</w:t>
      </w:r>
      <w:r w:rsidR="005C0498">
        <w:t xml:space="preserve"> </w:t>
      </w:r>
      <w:r w:rsidR="00C958AB">
        <w:tab/>
      </w:r>
      <w:r w:rsidR="00C173FC">
        <w:tab/>
      </w:r>
      <w:r w:rsidR="00270768">
        <w:t>Director,</w:t>
      </w:r>
      <w:r w:rsidR="002542B2">
        <w:t xml:space="preserve"> Licensing &amp; Commercialization</w:t>
      </w:r>
      <w:r w:rsidR="00270768">
        <w:t>, Innovation &amp; New Ventures</w:t>
      </w:r>
    </w:p>
    <w:p w14:paraId="26D903E7" w14:textId="77777777" w:rsidR="00573D42" w:rsidRDefault="00974665" w:rsidP="00A3725A">
      <w:pPr>
        <w:pStyle w:val="BodyText"/>
        <w:tabs>
          <w:tab w:val="left" w:pos="3619"/>
        </w:tabs>
        <w:spacing w:before="26" w:line="259" w:lineRule="auto"/>
        <w:ind w:left="739" w:right="600"/>
      </w:pPr>
      <w:r>
        <w:t>William Joseph Thomas</w:t>
      </w:r>
      <w:r w:rsidR="00FE64C2">
        <w:t xml:space="preserve">, </w:t>
      </w:r>
      <w:r w:rsidR="001476FC">
        <w:t>MSLS, MA</w:t>
      </w:r>
      <w:r>
        <w:tab/>
      </w:r>
      <w:r w:rsidR="00C173FC">
        <w:tab/>
      </w:r>
      <w:r>
        <w:t>Assistant Director for Research and Scholarly Communication</w:t>
      </w:r>
    </w:p>
    <w:p w14:paraId="6E7773C8" w14:textId="77777777" w:rsidR="0005036B" w:rsidRPr="00C173FC" w:rsidRDefault="007E4C18" w:rsidP="00C173FC">
      <w:pPr>
        <w:pStyle w:val="BodyText"/>
        <w:tabs>
          <w:tab w:val="left" w:pos="3619"/>
        </w:tabs>
        <w:spacing w:before="26" w:line="259" w:lineRule="auto"/>
        <w:ind w:left="739" w:right="2311"/>
      </w:pPr>
      <w:r>
        <w:t>Justin Yeama</w:t>
      </w:r>
      <w:r w:rsidR="00F6142A">
        <w:t>n</w:t>
      </w:r>
      <w:r w:rsidR="00950117">
        <w:t>, MA</w:t>
      </w:r>
      <w:r>
        <w:tab/>
      </w:r>
      <w:r w:rsidR="00C173FC">
        <w:tab/>
      </w:r>
      <w:r>
        <w:t>Director of Learning &amp; Organizational Development</w:t>
      </w:r>
      <w:r w:rsidR="00E313A8">
        <w:tab/>
      </w:r>
    </w:p>
    <w:p w14:paraId="77A1A8B4" w14:textId="77777777" w:rsidR="0005036B" w:rsidRPr="00EF4791" w:rsidRDefault="00E313A8" w:rsidP="00EF4791">
      <w:pPr>
        <w:pStyle w:val="Heading1"/>
        <w:shd w:val="clear" w:color="auto" w:fill="C1ABD6"/>
        <w:rPr>
          <w:b/>
          <w:color w:val="000000" w:themeColor="text1"/>
        </w:rPr>
      </w:pPr>
      <w:bookmarkStart w:id="3" w:name="DESCRIPTION:"/>
      <w:bookmarkEnd w:id="3"/>
      <w:r w:rsidRPr="00EF4791">
        <w:rPr>
          <w:b/>
          <w:color w:val="000000" w:themeColor="text1"/>
        </w:rPr>
        <w:t>DESCRIPTION:</w:t>
      </w:r>
    </w:p>
    <w:p w14:paraId="57A76087" w14:textId="465429B4" w:rsidR="00FB4C67" w:rsidRPr="00F7614F" w:rsidRDefault="00E313A8" w:rsidP="00F7614F">
      <w:pPr>
        <w:pStyle w:val="BodyText"/>
        <w:spacing w:before="24" w:line="259" w:lineRule="auto"/>
        <w:ind w:left="740" w:right="1220"/>
      </w:pPr>
      <w:r>
        <w:t xml:space="preserve">This </w:t>
      </w:r>
      <w:r w:rsidR="009900F3">
        <w:t>training</w:t>
      </w:r>
      <w:r>
        <w:t xml:space="preserve"> </w:t>
      </w:r>
      <w:r w:rsidR="009900F3">
        <w:t>is designed</w:t>
      </w:r>
      <w:r>
        <w:t xml:space="preserve"> for postdoctoral fellows and junior faculty who are recipients of NIH</w:t>
      </w:r>
      <w:r w:rsidR="00CC3916">
        <w:t>, NSF,</w:t>
      </w:r>
      <w:r>
        <w:t xml:space="preserve"> or other training awards that require training in Responsible Conduct of Research. The </w:t>
      </w:r>
      <w:r w:rsidR="009900F3">
        <w:t>training</w:t>
      </w:r>
      <w:r>
        <w:t xml:space="preserve"> will cover the principles and expectations for conducting research ethically a</w:t>
      </w:r>
      <w:r w:rsidR="001476FC">
        <w:t>nd</w:t>
      </w:r>
      <w:r>
        <w:t xml:space="preserve"> guide participants in teaching others for whom they are responsible. Each session will be led by </w:t>
      </w:r>
      <w:r w:rsidR="00CC3916">
        <w:t>ECU subject matter experts in each of the RCR core areas</w:t>
      </w:r>
      <w:r w:rsidR="009900F3">
        <w:t xml:space="preserve">, plus </w:t>
      </w:r>
      <w:r w:rsidR="001476FC">
        <w:t>a selection of</w:t>
      </w:r>
      <w:r w:rsidR="009900F3">
        <w:t xml:space="preserve"> elective trainings.</w:t>
      </w:r>
      <w:bookmarkStart w:id="4" w:name="REQUIREMENTS:"/>
      <w:bookmarkStart w:id="5" w:name="Pre-Session,_Online_Modules"/>
      <w:bookmarkEnd w:id="4"/>
      <w:bookmarkEnd w:id="5"/>
    </w:p>
    <w:p w14:paraId="4B2EF22F" w14:textId="77777777" w:rsidR="009900F3" w:rsidRDefault="009900F3">
      <w:pPr>
        <w:pStyle w:val="Heading1"/>
        <w:rPr>
          <w:b/>
        </w:rPr>
      </w:pPr>
    </w:p>
    <w:p w14:paraId="630DD86D" w14:textId="77777777" w:rsidR="0005036B" w:rsidRPr="003D5B55" w:rsidRDefault="00E313A8">
      <w:pPr>
        <w:pStyle w:val="Heading1"/>
        <w:rPr>
          <w:b/>
        </w:rPr>
      </w:pPr>
      <w:r w:rsidRPr="003D5B55">
        <w:rPr>
          <w:b/>
        </w:rPr>
        <w:t>Pre-Session</w:t>
      </w:r>
      <w:r w:rsidR="002B23E2" w:rsidRPr="003D5B55">
        <w:rPr>
          <w:b/>
        </w:rPr>
        <w:t xml:space="preserve"> Reading</w:t>
      </w:r>
    </w:p>
    <w:p w14:paraId="2534C842" w14:textId="77777777" w:rsidR="0005036B" w:rsidRDefault="00E313A8" w:rsidP="004A226C">
      <w:pPr>
        <w:pStyle w:val="BodyText"/>
        <w:spacing w:before="24" w:line="259" w:lineRule="auto"/>
        <w:ind w:left="740" w:right="1220"/>
      </w:pPr>
      <w:r>
        <w:t xml:space="preserve">This </w:t>
      </w:r>
      <w:r w:rsidR="009900F3">
        <w:t>training</w:t>
      </w:r>
      <w:r>
        <w:t xml:space="preserve"> places a heavy emphasis on in-class discussion</w:t>
      </w:r>
      <w:bookmarkStart w:id="6" w:name="Pre-Session_Questionnaire"/>
      <w:bookmarkEnd w:id="6"/>
      <w:r w:rsidR="004A226C">
        <w:t xml:space="preserve"> and </w:t>
      </w:r>
      <w:r w:rsidR="009900F3">
        <w:t xml:space="preserve">the content area instructor </w:t>
      </w:r>
      <w:r w:rsidR="004A226C">
        <w:t>may require</w:t>
      </w:r>
      <w:r w:rsidR="009900F3">
        <w:t xml:space="preserve"> participants to complete</w:t>
      </w:r>
      <w:r w:rsidR="004A226C">
        <w:t xml:space="preserve"> light pre-session reading </w:t>
      </w:r>
      <w:r w:rsidR="009900F3">
        <w:t>in preparation for class discussion</w:t>
      </w:r>
      <w:r w:rsidR="004A226C">
        <w:t>.</w:t>
      </w:r>
    </w:p>
    <w:p w14:paraId="51BA324E" w14:textId="77777777" w:rsidR="00F7614F" w:rsidRDefault="00F7614F">
      <w:pPr>
        <w:pStyle w:val="Heading1"/>
        <w:spacing w:before="158"/>
        <w:rPr>
          <w:b/>
        </w:rPr>
      </w:pPr>
      <w:bookmarkStart w:id="7" w:name="Attendance"/>
      <w:bookmarkEnd w:id="7"/>
    </w:p>
    <w:p w14:paraId="74F34CB6" w14:textId="25D0AE44" w:rsidR="0005036B" w:rsidRPr="003D5B55" w:rsidRDefault="00E313A8">
      <w:pPr>
        <w:pStyle w:val="Heading1"/>
        <w:spacing w:before="158"/>
        <w:rPr>
          <w:b/>
        </w:rPr>
      </w:pPr>
      <w:r w:rsidRPr="003D5B55">
        <w:rPr>
          <w:b/>
        </w:rPr>
        <w:t>Attendance</w:t>
      </w:r>
    </w:p>
    <w:p w14:paraId="34D2DFEC" w14:textId="77777777" w:rsidR="0005036B" w:rsidRDefault="00E313A8" w:rsidP="00A3725A">
      <w:pPr>
        <w:pStyle w:val="BodyText"/>
        <w:spacing w:before="23" w:line="259" w:lineRule="auto"/>
        <w:ind w:left="740" w:right="420"/>
      </w:pPr>
      <w:r>
        <w:lastRenderedPageBreak/>
        <w:t xml:space="preserve">Attendance is expected at </w:t>
      </w:r>
      <w:r w:rsidR="00A310E3">
        <w:t>eight</w:t>
      </w:r>
      <w:r w:rsidR="003D5B55">
        <w:t xml:space="preserve"> of </w:t>
      </w:r>
      <w:r w:rsidR="009900F3">
        <w:t>t</w:t>
      </w:r>
      <w:r w:rsidR="00A310E3">
        <w:t>hirteen</w:t>
      </w:r>
      <w:r>
        <w:t xml:space="preserve"> session</w:t>
      </w:r>
      <w:r w:rsidR="003D5B55">
        <w:t>s</w:t>
      </w:r>
      <w:r w:rsidR="007C2724">
        <w:t xml:space="preserve"> to receive credit for completion.</w:t>
      </w:r>
      <w:r w:rsidR="0086494B">
        <w:t xml:space="preserve">  Attendance at the following sessions </w:t>
      </w:r>
      <w:r w:rsidR="00CC3916">
        <w:t>is</w:t>
      </w:r>
      <w:r w:rsidR="0086494B">
        <w:t xml:space="preserve"> mandatory</w:t>
      </w:r>
      <w:r w:rsidR="00CC3916">
        <w:t xml:space="preserve"> and are marked with an asterisk (*) below</w:t>
      </w:r>
      <w:r w:rsidR="0086494B">
        <w:t xml:space="preserve">: </w:t>
      </w:r>
      <w:r w:rsidR="006E28B9">
        <w:t>Research Misconduct;</w:t>
      </w:r>
      <w:r w:rsidR="0086494B">
        <w:t xml:space="preserve"> Data Acquisition, Management, Sharing &amp; Ownership; Mentor/Trainee Relationship; Publication Practices and Responsible Authorship</w:t>
      </w:r>
      <w:r w:rsidR="006E28B9">
        <w:t>, Peer Review</w:t>
      </w:r>
      <w:r w:rsidR="00A310E3">
        <w:t xml:space="preserve">; </w:t>
      </w:r>
      <w:r w:rsidR="006E28B9">
        <w:t>Collaborative Science</w:t>
      </w:r>
      <w:r w:rsidR="00A310E3">
        <w:t>; and Risk Mitigation in Research Facilities</w:t>
      </w:r>
    </w:p>
    <w:p w14:paraId="18E539AD" w14:textId="77777777" w:rsidR="0005036B" w:rsidRDefault="00E313A8">
      <w:pPr>
        <w:spacing w:before="178" w:line="259" w:lineRule="auto"/>
        <w:ind w:left="739" w:right="1315"/>
        <w:rPr>
          <w:b/>
          <w:sz w:val="20"/>
        </w:rPr>
      </w:pPr>
      <w:r>
        <w:rPr>
          <w:b/>
          <w:sz w:val="20"/>
        </w:rPr>
        <w:t>Al</w:t>
      </w:r>
      <w:r w:rsidR="0086494B">
        <w:rPr>
          <w:b/>
          <w:sz w:val="20"/>
        </w:rPr>
        <w:t xml:space="preserve">l </w:t>
      </w:r>
      <w:r>
        <w:rPr>
          <w:b/>
          <w:sz w:val="20"/>
        </w:rPr>
        <w:t xml:space="preserve">requirements must be met to receive a course certificate. </w:t>
      </w:r>
    </w:p>
    <w:p w14:paraId="2CE26CA1" w14:textId="37C5B8C9" w:rsidR="0005036B" w:rsidRPr="004A3B7C" w:rsidRDefault="004A3B7C" w:rsidP="004A3B7C">
      <w:pPr>
        <w:pStyle w:val="Heading1"/>
        <w:shd w:val="clear" w:color="auto" w:fill="C1ABD6"/>
        <w:tabs>
          <w:tab w:val="center" w:pos="5448"/>
          <w:tab w:val="right" w:pos="10350"/>
        </w:tabs>
        <w:spacing w:before="160" w:after="24"/>
        <w:ind w:left="547" w:right="510"/>
        <w:rPr>
          <w:b/>
          <w:color w:val="000000" w:themeColor="text1"/>
        </w:rPr>
      </w:pPr>
      <w:bookmarkStart w:id="8" w:name="WEEKLY_SCHEDULE:"/>
      <w:bookmarkEnd w:id="8"/>
      <w:r>
        <w:rPr>
          <w:b/>
          <w:color w:val="000000" w:themeColor="text1"/>
        </w:rPr>
        <w:tab/>
      </w:r>
      <w:r w:rsidR="00E313A8" w:rsidRPr="004A3B7C">
        <w:rPr>
          <w:b/>
          <w:color w:val="000000" w:themeColor="text1"/>
        </w:rPr>
        <w:t>WEEKLY SCHEDULE:</w:t>
      </w:r>
      <w:r>
        <w:rPr>
          <w:b/>
          <w:color w:val="000000" w:themeColor="text1"/>
        </w:rPr>
        <w:tab/>
      </w:r>
    </w:p>
    <w:tbl>
      <w:tblPr>
        <w:tblW w:w="9798" w:type="dxa"/>
        <w:tblInd w:w="535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5670"/>
        <w:gridCol w:w="1620"/>
        <w:gridCol w:w="1158"/>
      </w:tblGrid>
      <w:tr w:rsidR="00AE3D53" w:rsidRPr="004A226C" w14:paraId="27360E9F" w14:textId="77777777" w:rsidTr="00DF232C">
        <w:trPr>
          <w:trHeight w:val="608"/>
        </w:trPr>
        <w:tc>
          <w:tcPr>
            <w:tcW w:w="1350" w:type="dxa"/>
            <w:tcBorders>
              <w:bottom w:val="single" w:sz="12" w:space="0" w:color="CACACA"/>
            </w:tcBorders>
          </w:tcPr>
          <w:p w14:paraId="056E1A9C" w14:textId="307AA3DA" w:rsidR="00AE3D53" w:rsidRPr="004A226C" w:rsidRDefault="00AE3D53" w:rsidP="00DF232C">
            <w:pPr>
              <w:pStyle w:val="TableParagraph"/>
              <w:spacing w:before="61"/>
              <w:ind w:right="173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Date</w:t>
            </w:r>
            <w:r w:rsidR="00DF232C">
              <w:rPr>
                <w:b/>
                <w:i/>
                <w:sz w:val="20"/>
              </w:rPr>
              <w:t xml:space="preserve"> &amp;</w:t>
            </w:r>
            <w:r w:rsidRPr="004A226C">
              <w:rPr>
                <w:b/>
                <w:i/>
                <w:sz w:val="20"/>
              </w:rPr>
              <w:t xml:space="preserve"> Time</w:t>
            </w:r>
          </w:p>
        </w:tc>
        <w:tc>
          <w:tcPr>
            <w:tcW w:w="5670" w:type="dxa"/>
            <w:tcBorders>
              <w:bottom w:val="single" w:sz="12" w:space="0" w:color="CACACA"/>
            </w:tcBorders>
          </w:tcPr>
          <w:p w14:paraId="6BFF7609" w14:textId="77777777" w:rsidR="00AE3D53" w:rsidRPr="004A226C" w:rsidRDefault="00AE3D53">
            <w:pPr>
              <w:pStyle w:val="TableParagraph"/>
              <w:spacing w:before="1"/>
              <w:ind w:left="257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Session &amp; Description</w:t>
            </w:r>
          </w:p>
        </w:tc>
        <w:tc>
          <w:tcPr>
            <w:tcW w:w="1620" w:type="dxa"/>
            <w:tcBorders>
              <w:bottom w:val="single" w:sz="12" w:space="0" w:color="CACACA"/>
            </w:tcBorders>
          </w:tcPr>
          <w:p w14:paraId="42602D48" w14:textId="77777777" w:rsidR="00AE3D53" w:rsidRPr="004A226C" w:rsidRDefault="00AE3D53">
            <w:pPr>
              <w:pStyle w:val="TableParagraph"/>
              <w:spacing w:before="61"/>
              <w:ind w:left="185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Instructor</w:t>
            </w:r>
          </w:p>
        </w:tc>
        <w:tc>
          <w:tcPr>
            <w:tcW w:w="1158" w:type="dxa"/>
            <w:tcBorders>
              <w:bottom w:val="single" w:sz="12" w:space="0" w:color="CACACA"/>
            </w:tcBorders>
          </w:tcPr>
          <w:p w14:paraId="7EB6004A" w14:textId="77777777" w:rsidR="00AE3D53" w:rsidRPr="004A226C" w:rsidRDefault="00AE3D53">
            <w:pPr>
              <w:pStyle w:val="TableParagraph"/>
              <w:spacing w:before="61"/>
              <w:ind w:left="1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Room</w:t>
            </w:r>
          </w:p>
        </w:tc>
      </w:tr>
      <w:tr w:rsidR="00AE3D53" w:rsidRPr="004A226C" w14:paraId="397ACB7D" w14:textId="77777777" w:rsidTr="00DF232C">
        <w:trPr>
          <w:trHeight w:val="1460"/>
        </w:trPr>
        <w:tc>
          <w:tcPr>
            <w:tcW w:w="1350" w:type="dxa"/>
            <w:tcBorders>
              <w:top w:val="single" w:sz="12" w:space="0" w:color="CACACA"/>
            </w:tcBorders>
          </w:tcPr>
          <w:p w14:paraId="5FDBA76D" w14:textId="77777777" w:rsidR="00AE3D53" w:rsidRPr="004A226C" w:rsidRDefault="00AE3D53">
            <w:pPr>
              <w:pStyle w:val="TableParagraph"/>
              <w:spacing w:before="58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March 15</w:t>
            </w:r>
          </w:p>
          <w:p w14:paraId="08B2ED3F" w14:textId="77777777" w:rsidR="00AE3D53" w:rsidRPr="004A226C" w:rsidRDefault="00AE3D53">
            <w:pPr>
              <w:pStyle w:val="TableParagraph"/>
              <w:spacing w:before="61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11:30-12:30</w:t>
            </w:r>
          </w:p>
          <w:p w14:paraId="53444BE6" w14:textId="77777777" w:rsidR="00AE3D53" w:rsidRPr="004A226C" w:rsidRDefault="00AE3D53">
            <w:pPr>
              <w:pStyle w:val="TableParagraph"/>
              <w:spacing w:before="61"/>
              <w:rPr>
                <w:b/>
                <w:i/>
                <w:sz w:val="20"/>
              </w:rPr>
            </w:pPr>
          </w:p>
        </w:tc>
        <w:tc>
          <w:tcPr>
            <w:tcW w:w="5670" w:type="dxa"/>
            <w:tcBorders>
              <w:top w:val="single" w:sz="12" w:space="0" w:color="CACACA"/>
            </w:tcBorders>
          </w:tcPr>
          <w:p w14:paraId="7E20915D" w14:textId="77777777" w:rsidR="00AE3D53" w:rsidRPr="004A226C" w:rsidRDefault="00AE3D53">
            <w:pPr>
              <w:pStyle w:val="TableParagraph"/>
              <w:spacing w:before="0"/>
              <w:ind w:left="257" w:right="139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*Research Misconduct </w:t>
            </w:r>
            <w:r w:rsidRPr="004A226C">
              <w:rPr>
                <w:i/>
                <w:sz w:val="20"/>
              </w:rPr>
              <w:t>– Policies and Responses to Suspected Research Misconduct • Identifying lines between misconduct, irresponsible conduct, and expected normative practices • ECU policies and resources • What to do if you suspect misconduct or someone comes to YOU with concerns</w:t>
            </w:r>
          </w:p>
        </w:tc>
        <w:tc>
          <w:tcPr>
            <w:tcW w:w="1620" w:type="dxa"/>
            <w:tcBorders>
              <w:top w:val="single" w:sz="12" w:space="0" w:color="CACACA"/>
            </w:tcBorders>
          </w:tcPr>
          <w:p w14:paraId="4275A2AF" w14:textId="77777777" w:rsidR="00AE3D53" w:rsidRPr="004A226C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.</w:t>
            </w:r>
          </w:p>
          <w:p w14:paraId="35EEDDD4" w14:textId="77777777" w:rsidR="00AE3D53" w:rsidRPr="004A226C" w:rsidRDefault="00AE3D53">
            <w:pPr>
              <w:pStyle w:val="TableParagraph"/>
              <w:spacing w:before="1"/>
              <w:ind w:left="185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Greg Hassler</w:t>
            </w:r>
          </w:p>
        </w:tc>
        <w:tc>
          <w:tcPr>
            <w:tcW w:w="1158" w:type="dxa"/>
            <w:tcBorders>
              <w:top w:val="single" w:sz="12" w:space="0" w:color="CACACA"/>
            </w:tcBorders>
          </w:tcPr>
          <w:p w14:paraId="27C0E815" w14:textId="77777777" w:rsidR="00AE3D53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</w:p>
          <w:p w14:paraId="2E942DD8" w14:textId="77777777" w:rsidR="00AE3D53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05AF8480" w14:textId="77777777" w:rsidR="00AE3D53" w:rsidRPr="004A226C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</w:tr>
      <w:tr w:rsidR="00AE3D53" w:rsidRPr="004A226C" w14:paraId="5B7F8F63" w14:textId="77777777" w:rsidTr="00DF232C">
        <w:trPr>
          <w:trHeight w:val="1039"/>
        </w:trPr>
        <w:tc>
          <w:tcPr>
            <w:tcW w:w="1350" w:type="dxa"/>
            <w:tcBorders>
              <w:top w:val="single" w:sz="12" w:space="0" w:color="CACACA"/>
            </w:tcBorders>
          </w:tcPr>
          <w:p w14:paraId="36DD3B99" w14:textId="77777777" w:rsidR="00AE3D53" w:rsidRPr="004A226C" w:rsidRDefault="00AE3D53">
            <w:pPr>
              <w:pStyle w:val="TableParagraph"/>
              <w:spacing w:before="58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March 15</w:t>
            </w:r>
          </w:p>
          <w:p w14:paraId="60443778" w14:textId="77777777" w:rsidR="00AE3D53" w:rsidRPr="004A226C" w:rsidRDefault="00AE3D53">
            <w:pPr>
              <w:pStyle w:val="TableParagraph"/>
              <w:spacing w:before="58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12:30-1:30</w:t>
            </w:r>
          </w:p>
        </w:tc>
        <w:tc>
          <w:tcPr>
            <w:tcW w:w="5670" w:type="dxa"/>
            <w:tcBorders>
              <w:top w:val="single" w:sz="12" w:space="0" w:color="CACACA"/>
            </w:tcBorders>
          </w:tcPr>
          <w:p w14:paraId="41C38C0B" w14:textId="77777777" w:rsidR="00AE3D53" w:rsidRDefault="00AE3D53">
            <w:pPr>
              <w:pStyle w:val="TableParagraph"/>
              <w:spacing w:before="0"/>
              <w:ind w:left="257" w:right="139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*Data Acquisition, Management, Sharing, and Ownership &amp; Reproducible Research </w:t>
            </w:r>
            <w:r w:rsidRPr="004A226C">
              <w:rPr>
                <w:i/>
                <w:sz w:val="20"/>
              </w:rPr>
              <w:t>– Expected practices and policies of journals, sponsors, and institutions • Tools for reproducibility in research</w:t>
            </w:r>
          </w:p>
          <w:p w14:paraId="3410DD19" w14:textId="03E9F75E" w:rsidR="00F7614F" w:rsidRPr="004A226C" w:rsidRDefault="00F7614F">
            <w:pPr>
              <w:pStyle w:val="TableParagraph"/>
              <w:spacing w:before="0"/>
              <w:ind w:left="257" w:right="139"/>
              <w:rPr>
                <w:b/>
                <w:i/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CACACA"/>
            </w:tcBorders>
          </w:tcPr>
          <w:p w14:paraId="05FECE25" w14:textId="77777777" w:rsidR="00AE3D53" w:rsidRPr="004A226C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</w:p>
          <w:p w14:paraId="1B370E8D" w14:textId="77777777" w:rsidR="00AE3D53" w:rsidRPr="004A226C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Joseph Thomas</w:t>
            </w:r>
          </w:p>
          <w:p w14:paraId="2A35F80A" w14:textId="77777777" w:rsidR="00AE3D53" w:rsidRPr="004A226C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Kerry Sewell</w:t>
            </w:r>
          </w:p>
        </w:tc>
        <w:tc>
          <w:tcPr>
            <w:tcW w:w="1158" w:type="dxa"/>
            <w:tcBorders>
              <w:top w:val="single" w:sz="12" w:space="0" w:color="CACACA"/>
            </w:tcBorders>
          </w:tcPr>
          <w:p w14:paraId="73794FAD" w14:textId="77777777" w:rsidR="00AE3D53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</w:p>
          <w:p w14:paraId="0FF29AF5" w14:textId="77777777" w:rsidR="00AE3D53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692F6D43" w14:textId="77777777" w:rsidR="00AE3D53" w:rsidRPr="004A226C" w:rsidRDefault="00AE3D53" w:rsidP="00933411">
            <w:pPr>
              <w:pStyle w:val="TableParagraph"/>
              <w:spacing w:before="58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</w:tr>
      <w:tr w:rsidR="00AE3D53" w:rsidRPr="004A226C" w14:paraId="596EA090" w14:textId="77777777" w:rsidTr="00DF232C">
        <w:trPr>
          <w:trHeight w:val="1341"/>
        </w:trPr>
        <w:tc>
          <w:tcPr>
            <w:tcW w:w="1350" w:type="dxa"/>
          </w:tcPr>
          <w:p w14:paraId="47AC9FF5" w14:textId="77777777" w:rsidR="00AE3D53" w:rsidRPr="004A226C" w:rsidRDefault="00AE3D53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March 22</w:t>
            </w:r>
          </w:p>
          <w:p w14:paraId="44814F6C" w14:textId="77777777" w:rsidR="00AE3D53" w:rsidRPr="004A226C" w:rsidRDefault="00AE3D53" w:rsidP="00933411">
            <w:pPr>
              <w:pStyle w:val="TableParagraph"/>
              <w:spacing w:before="61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11:30-12:30</w:t>
            </w:r>
          </w:p>
          <w:p w14:paraId="2FD0BEC6" w14:textId="77777777" w:rsidR="00AE3D53" w:rsidRPr="004A226C" w:rsidRDefault="00AE3D53">
            <w:pPr>
              <w:pStyle w:val="TableParagraph"/>
              <w:spacing w:before="61"/>
              <w:rPr>
                <w:b/>
                <w:i/>
                <w:sz w:val="20"/>
              </w:rPr>
            </w:pPr>
          </w:p>
        </w:tc>
        <w:tc>
          <w:tcPr>
            <w:tcW w:w="5670" w:type="dxa"/>
          </w:tcPr>
          <w:p w14:paraId="09DCC1AE" w14:textId="77777777" w:rsidR="00AE3D53" w:rsidRDefault="00AE3D53">
            <w:pPr>
              <w:pStyle w:val="TableParagraph"/>
              <w:ind w:left="276" w:right="401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*Mentor-Mentee Relationships -</w:t>
            </w:r>
            <w:r w:rsidRPr="004A226C">
              <w:rPr>
                <w:i/>
                <w:sz w:val="20"/>
              </w:rPr>
              <w:t xml:space="preserve"> Core principles of teaching and learning through mentors • Responsibilities when mentoring others • Helping others deal with the lack of consensus across the community on some practices • Individual Development Plans • Clarifying expectations</w:t>
            </w:r>
          </w:p>
          <w:p w14:paraId="763371EA" w14:textId="05E052FF" w:rsidR="00F7614F" w:rsidRPr="004A226C" w:rsidRDefault="00F7614F">
            <w:pPr>
              <w:pStyle w:val="TableParagraph"/>
              <w:ind w:left="276" w:right="401"/>
              <w:rPr>
                <w:i/>
                <w:sz w:val="20"/>
              </w:rPr>
            </w:pPr>
          </w:p>
        </w:tc>
        <w:tc>
          <w:tcPr>
            <w:tcW w:w="1620" w:type="dxa"/>
          </w:tcPr>
          <w:p w14:paraId="2EA622DB" w14:textId="77777777" w:rsidR="00AE3D53" w:rsidRPr="004A226C" w:rsidRDefault="00AE3D53" w:rsidP="00573D42">
            <w:pPr>
              <w:pStyle w:val="TableParagraph"/>
              <w:rPr>
                <w:i/>
                <w:sz w:val="20"/>
              </w:rPr>
            </w:pPr>
          </w:p>
          <w:p w14:paraId="36940759" w14:textId="77777777" w:rsidR="00AE3D53" w:rsidRPr="004A226C" w:rsidRDefault="00AE3D53" w:rsidP="00573D42">
            <w:pPr>
              <w:pStyle w:val="TableParagraph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Joe Houmard</w:t>
            </w:r>
          </w:p>
        </w:tc>
        <w:tc>
          <w:tcPr>
            <w:tcW w:w="1158" w:type="dxa"/>
          </w:tcPr>
          <w:p w14:paraId="67EAA85D" w14:textId="77777777" w:rsidR="00AE3D53" w:rsidRDefault="00AE3D53" w:rsidP="00573D42">
            <w:pPr>
              <w:pStyle w:val="TableParagraph"/>
              <w:rPr>
                <w:i/>
                <w:sz w:val="20"/>
              </w:rPr>
            </w:pPr>
          </w:p>
          <w:p w14:paraId="3049D91E" w14:textId="77777777" w:rsidR="00AE3D53" w:rsidRDefault="00AE3D53" w:rsidP="00573D42">
            <w:pPr>
              <w:pStyle w:val="TableParagrap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14:paraId="1C1B2BDE" w14:textId="77777777" w:rsidR="00AE3D53" w:rsidRPr="004A226C" w:rsidRDefault="00AE3D53" w:rsidP="00573D4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</w:tr>
      <w:tr w:rsidR="00AE3D53" w:rsidRPr="004A226C" w14:paraId="1F67C348" w14:textId="77777777" w:rsidTr="00DF232C">
        <w:trPr>
          <w:trHeight w:val="1341"/>
        </w:trPr>
        <w:tc>
          <w:tcPr>
            <w:tcW w:w="1350" w:type="dxa"/>
          </w:tcPr>
          <w:p w14:paraId="0412A801" w14:textId="77777777" w:rsidR="00AE3D53" w:rsidRPr="004A226C" w:rsidRDefault="00AE3D53" w:rsidP="00F83D18">
            <w:pPr>
              <w:pStyle w:val="TableParagraph"/>
              <w:spacing w:before="61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March 22</w:t>
            </w:r>
          </w:p>
          <w:p w14:paraId="5AC3F339" w14:textId="77777777" w:rsidR="00AE3D53" w:rsidRPr="004A226C" w:rsidRDefault="00AE3D53" w:rsidP="00F83D18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12:30-1:30</w:t>
            </w:r>
          </w:p>
        </w:tc>
        <w:tc>
          <w:tcPr>
            <w:tcW w:w="5670" w:type="dxa"/>
          </w:tcPr>
          <w:p w14:paraId="6F833EDA" w14:textId="77777777" w:rsidR="00AE3D53" w:rsidRDefault="00AE3D53">
            <w:pPr>
              <w:pStyle w:val="TableParagraph"/>
              <w:ind w:left="276" w:right="401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*Peer Review </w:t>
            </w:r>
            <w:r w:rsidRPr="004A226C">
              <w:rPr>
                <w:i/>
                <w:sz w:val="20"/>
              </w:rPr>
              <w:t>– What really are the instructions and expectations for journal and NIH peer reviewers? • Inclusion of graduate students and postdocs in peer review processes • Teaching others the high bar for respect of intellectual property revealed to peer reviewers</w:t>
            </w:r>
          </w:p>
          <w:p w14:paraId="2A56A8C6" w14:textId="74FED6CC" w:rsidR="00F7614F" w:rsidRPr="004A226C" w:rsidRDefault="00F7614F">
            <w:pPr>
              <w:pStyle w:val="TableParagraph"/>
              <w:ind w:left="276" w:right="401"/>
              <w:rPr>
                <w:b/>
                <w:i/>
                <w:sz w:val="20"/>
              </w:rPr>
            </w:pPr>
          </w:p>
        </w:tc>
        <w:tc>
          <w:tcPr>
            <w:tcW w:w="1620" w:type="dxa"/>
          </w:tcPr>
          <w:p w14:paraId="59959051" w14:textId="77777777" w:rsidR="00AE3D53" w:rsidRPr="004A226C" w:rsidRDefault="00AE3D53">
            <w:pPr>
              <w:pStyle w:val="TableParagraph"/>
              <w:ind w:left="184"/>
              <w:rPr>
                <w:i/>
                <w:sz w:val="20"/>
              </w:rPr>
            </w:pPr>
          </w:p>
          <w:p w14:paraId="59CE4BD7" w14:textId="77777777" w:rsidR="00AE3D53" w:rsidRPr="004A226C" w:rsidRDefault="00AE3D53">
            <w:pPr>
              <w:pStyle w:val="TableParagraph"/>
              <w:ind w:left="184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Russ Price</w:t>
            </w:r>
          </w:p>
        </w:tc>
        <w:tc>
          <w:tcPr>
            <w:tcW w:w="1158" w:type="dxa"/>
          </w:tcPr>
          <w:p w14:paraId="5A405DD5" w14:textId="77777777" w:rsidR="00AE3D53" w:rsidRDefault="00AE3D53">
            <w:pPr>
              <w:pStyle w:val="TableParagraph"/>
              <w:ind w:left="184"/>
              <w:rPr>
                <w:i/>
                <w:sz w:val="20"/>
              </w:rPr>
            </w:pPr>
          </w:p>
          <w:p w14:paraId="725C8F57" w14:textId="77777777" w:rsidR="00AE3D53" w:rsidRDefault="00AE3D53">
            <w:pPr>
              <w:pStyle w:val="TableParagraph"/>
              <w:ind w:left="1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63F3EA13" w14:textId="77777777" w:rsidR="00AE3D53" w:rsidRPr="004A226C" w:rsidRDefault="00AE3D53">
            <w:pPr>
              <w:pStyle w:val="TableParagraph"/>
              <w:ind w:left="184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</w:tr>
      <w:tr w:rsidR="00AE3D53" w:rsidRPr="004A226C" w14:paraId="644D59AD" w14:textId="77777777" w:rsidTr="00DF232C">
        <w:trPr>
          <w:trHeight w:val="1341"/>
        </w:trPr>
        <w:tc>
          <w:tcPr>
            <w:tcW w:w="1350" w:type="dxa"/>
          </w:tcPr>
          <w:p w14:paraId="6ABB559B" w14:textId="77777777" w:rsidR="00AE3D53" w:rsidRPr="004A226C" w:rsidRDefault="00AE3D53" w:rsidP="007C2724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March 29</w:t>
            </w:r>
          </w:p>
          <w:p w14:paraId="2FCFFAD8" w14:textId="77777777" w:rsidR="00AE3D53" w:rsidRPr="004A226C" w:rsidRDefault="00AE3D53" w:rsidP="007C2724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11:30-12:30</w:t>
            </w:r>
          </w:p>
        </w:tc>
        <w:tc>
          <w:tcPr>
            <w:tcW w:w="5670" w:type="dxa"/>
          </w:tcPr>
          <w:p w14:paraId="538D72DD" w14:textId="77777777" w:rsidR="00AE3D53" w:rsidRDefault="00AE3D53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*Collaborative Science </w:t>
            </w:r>
            <w:r w:rsidRPr="004A226C">
              <w:rPr>
                <w:i/>
                <w:sz w:val="20"/>
              </w:rPr>
              <w:t>– New issues arising as research becomes much more of a ‘team sport’ • As a mentor, guiding others working across research groups and differing research practices • Prospectively addressing possible issues BEFORE they arise • International collaborations – similarities and potential differences</w:t>
            </w:r>
          </w:p>
          <w:p w14:paraId="58D6FAA6" w14:textId="3E51649B" w:rsidR="00F7614F" w:rsidRPr="004A226C" w:rsidRDefault="00F7614F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</w:p>
        </w:tc>
        <w:tc>
          <w:tcPr>
            <w:tcW w:w="1620" w:type="dxa"/>
          </w:tcPr>
          <w:p w14:paraId="4A5A8566" w14:textId="77777777" w:rsidR="00AE3D53" w:rsidRPr="004A226C" w:rsidRDefault="00AE3D53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</w:p>
          <w:p w14:paraId="0DBC84C2" w14:textId="77777777" w:rsidR="00AE3D53" w:rsidRPr="004A226C" w:rsidRDefault="00AE3D53" w:rsidP="007E4C18">
            <w:pPr>
              <w:pStyle w:val="TableParagraph"/>
              <w:ind w:right="90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Darrell Neufer</w:t>
            </w:r>
          </w:p>
        </w:tc>
        <w:tc>
          <w:tcPr>
            <w:tcW w:w="1158" w:type="dxa"/>
          </w:tcPr>
          <w:p w14:paraId="143DACC5" w14:textId="77777777" w:rsidR="00AE3D53" w:rsidRDefault="00AE3D53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</w:p>
          <w:p w14:paraId="1D19AE14" w14:textId="77777777" w:rsidR="00AE3D53" w:rsidRDefault="00AE3D53" w:rsidP="00AE3D53">
            <w:pPr>
              <w:pStyle w:val="TableParagraph"/>
              <w:ind w:left="276" w:right="46" w:hanging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7D37E4B1" w14:textId="77777777" w:rsidR="00AE3D53" w:rsidRPr="004A226C" w:rsidRDefault="00AE3D53" w:rsidP="00AE3D53">
            <w:pPr>
              <w:pStyle w:val="TableParagraph"/>
              <w:ind w:left="276" w:right="46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</w:tr>
      <w:tr w:rsidR="00AE3D53" w:rsidRPr="004A226C" w14:paraId="6B4B349D" w14:textId="77777777" w:rsidTr="00DF232C">
        <w:trPr>
          <w:trHeight w:val="1341"/>
        </w:trPr>
        <w:tc>
          <w:tcPr>
            <w:tcW w:w="1350" w:type="dxa"/>
          </w:tcPr>
          <w:p w14:paraId="067639F6" w14:textId="77777777" w:rsidR="00AE3D53" w:rsidRPr="004A226C" w:rsidRDefault="00AE3D53" w:rsidP="00F83D18">
            <w:pPr>
              <w:pStyle w:val="TableParagraph"/>
              <w:spacing w:before="61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March 29</w:t>
            </w:r>
          </w:p>
          <w:p w14:paraId="009A4C5E" w14:textId="77777777" w:rsidR="00AE3D53" w:rsidRPr="004A226C" w:rsidRDefault="00AE3D53" w:rsidP="00F83D18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12:30-1:30</w:t>
            </w:r>
          </w:p>
        </w:tc>
        <w:tc>
          <w:tcPr>
            <w:tcW w:w="5670" w:type="dxa"/>
          </w:tcPr>
          <w:p w14:paraId="092A41CA" w14:textId="77777777" w:rsidR="00F7614F" w:rsidRDefault="00AE3D53" w:rsidP="00F7614F">
            <w:pPr>
              <w:pStyle w:val="TableParagraph"/>
              <w:ind w:left="276" w:right="484" w:hanging="1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*Publication Practices and Responsible Authorship </w:t>
            </w:r>
            <w:r w:rsidRPr="004A226C">
              <w:rPr>
                <w:i/>
                <w:sz w:val="20"/>
              </w:rPr>
              <w:t>– The</w:t>
            </w:r>
            <w:r w:rsidRPr="004A226C">
              <w:rPr>
                <w:i/>
                <w:spacing w:val="-23"/>
                <w:sz w:val="20"/>
              </w:rPr>
              <w:t xml:space="preserve"> </w:t>
            </w:r>
            <w:r w:rsidRPr="004A226C">
              <w:rPr>
                <w:i/>
                <w:sz w:val="20"/>
              </w:rPr>
              <w:t>range of norms, beliefs and practices among scientists and disciplines on assignment of credit through authorship and acknowledgements • Journal practices requiring explicit statements of contributions of authors • Establishing and communicating your criteria and process for determining authorship</w:t>
            </w:r>
          </w:p>
          <w:p w14:paraId="7369593C" w14:textId="77777777" w:rsidR="00F7614F" w:rsidRDefault="00F7614F" w:rsidP="00F7614F">
            <w:pPr>
              <w:pStyle w:val="TableParagraph"/>
              <w:ind w:left="0" w:right="484"/>
              <w:rPr>
                <w:i/>
                <w:sz w:val="20"/>
              </w:rPr>
            </w:pPr>
          </w:p>
          <w:p w14:paraId="3A7055E4" w14:textId="61A0DDC9" w:rsidR="00F7614F" w:rsidRPr="00F7614F" w:rsidRDefault="00F7614F" w:rsidP="00F7614F">
            <w:pPr>
              <w:pStyle w:val="TableParagraph"/>
              <w:ind w:left="0" w:right="484"/>
              <w:rPr>
                <w:i/>
                <w:sz w:val="20"/>
              </w:rPr>
            </w:pPr>
          </w:p>
        </w:tc>
        <w:tc>
          <w:tcPr>
            <w:tcW w:w="1620" w:type="dxa"/>
          </w:tcPr>
          <w:p w14:paraId="029BD7F6" w14:textId="77777777" w:rsidR="00AE3D53" w:rsidRPr="004A226C" w:rsidRDefault="00AE3D53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</w:p>
          <w:p w14:paraId="2FB8A5ED" w14:textId="77777777" w:rsidR="00AE3D53" w:rsidRPr="004A226C" w:rsidRDefault="00AE3D53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</w:p>
          <w:p w14:paraId="59C2395C" w14:textId="77777777" w:rsidR="00AE3D53" w:rsidRPr="004A226C" w:rsidRDefault="00AE3D53" w:rsidP="007E4C18">
            <w:pPr>
              <w:pStyle w:val="TableParagraph"/>
              <w:ind w:right="180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Darrell Neufer</w:t>
            </w:r>
          </w:p>
        </w:tc>
        <w:tc>
          <w:tcPr>
            <w:tcW w:w="1158" w:type="dxa"/>
          </w:tcPr>
          <w:p w14:paraId="0B1F5B1D" w14:textId="77777777" w:rsidR="00AE3D53" w:rsidRDefault="00AE3D53" w:rsidP="007C2724">
            <w:pPr>
              <w:pStyle w:val="TableParagraph"/>
              <w:ind w:left="276" w:right="484" w:hanging="1"/>
              <w:rPr>
                <w:i/>
                <w:sz w:val="20"/>
              </w:rPr>
            </w:pPr>
          </w:p>
          <w:p w14:paraId="4CF70F19" w14:textId="77777777" w:rsidR="00AE3D53" w:rsidRDefault="00AE3D53" w:rsidP="00AE3D53">
            <w:pPr>
              <w:pStyle w:val="TableParagraph"/>
              <w:ind w:left="276" w:right="136" w:hanging="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14:paraId="3D0B0853" w14:textId="77777777" w:rsidR="00AE3D53" w:rsidRPr="004A226C" w:rsidRDefault="00AE3D53" w:rsidP="00AE3D53">
            <w:pPr>
              <w:pStyle w:val="TableParagraph"/>
              <w:ind w:left="276" w:right="46" w:hanging="1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</w:tr>
      <w:tr w:rsidR="00AE3D53" w:rsidRPr="004A226C" w14:paraId="2FB1B1A5" w14:textId="77777777" w:rsidTr="00DF232C">
        <w:trPr>
          <w:trHeight w:val="1437"/>
        </w:trPr>
        <w:tc>
          <w:tcPr>
            <w:tcW w:w="1350" w:type="dxa"/>
          </w:tcPr>
          <w:p w14:paraId="3F2E4A6B" w14:textId="77777777" w:rsidR="00AE3D53" w:rsidRPr="004A226C" w:rsidRDefault="00AE3D53" w:rsidP="007C2724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April 5</w:t>
            </w:r>
          </w:p>
          <w:p w14:paraId="6DE9CD8D" w14:textId="77777777" w:rsidR="00AE3D53" w:rsidRPr="004A226C" w:rsidRDefault="00AE3D53" w:rsidP="007C2724">
            <w:pPr>
              <w:pStyle w:val="TableParagraph"/>
              <w:spacing w:before="61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11:30-1:30</w:t>
            </w:r>
          </w:p>
          <w:p w14:paraId="3D7F7C87" w14:textId="77777777" w:rsidR="00AE3D53" w:rsidRPr="004A226C" w:rsidRDefault="00AE3D53" w:rsidP="007C2724">
            <w:pPr>
              <w:pStyle w:val="TableParagraph"/>
              <w:rPr>
                <w:b/>
                <w:i/>
                <w:sz w:val="20"/>
              </w:rPr>
            </w:pPr>
          </w:p>
        </w:tc>
        <w:tc>
          <w:tcPr>
            <w:tcW w:w="5670" w:type="dxa"/>
          </w:tcPr>
          <w:p w14:paraId="5ED92CDE" w14:textId="77777777" w:rsidR="00AE3D53" w:rsidRPr="004A226C" w:rsidRDefault="00AE3D53" w:rsidP="00E439DD">
            <w:pPr>
              <w:pStyle w:val="TableParagraph"/>
              <w:ind w:left="276" w:right="401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Research Involving Vertebrate Animals </w:t>
            </w:r>
            <w:r w:rsidRPr="004A226C">
              <w:rPr>
                <w:i/>
                <w:sz w:val="20"/>
              </w:rPr>
              <w:t>– Going beyond the web-based training to real-life considerations of using animals in research</w:t>
            </w:r>
            <w:r>
              <w:rPr>
                <w:i/>
                <w:sz w:val="20"/>
              </w:rPr>
              <w:t xml:space="preserve"> </w:t>
            </w:r>
            <w:r w:rsidRPr="004A226C">
              <w:rPr>
                <w:i/>
                <w:sz w:val="20"/>
              </w:rPr>
              <w:t>•</w:t>
            </w:r>
            <w:r>
              <w:rPr>
                <w:i/>
                <w:sz w:val="20"/>
              </w:rPr>
              <w:t xml:space="preserve"> </w:t>
            </w:r>
            <w:r w:rsidRPr="004A226C">
              <w:rPr>
                <w:i/>
                <w:sz w:val="20"/>
              </w:rPr>
              <w:t>Practical applications for seeking approval to use animals in your research • Supervising and training others to work with animals in</w:t>
            </w:r>
            <w:r w:rsidRPr="004A226C">
              <w:rPr>
                <w:i/>
                <w:spacing w:val="-1"/>
                <w:sz w:val="20"/>
              </w:rPr>
              <w:t xml:space="preserve"> </w:t>
            </w:r>
            <w:r w:rsidRPr="004A226C">
              <w:rPr>
                <w:i/>
                <w:sz w:val="20"/>
              </w:rPr>
              <w:t>research</w:t>
            </w:r>
          </w:p>
        </w:tc>
        <w:tc>
          <w:tcPr>
            <w:tcW w:w="1620" w:type="dxa"/>
          </w:tcPr>
          <w:p w14:paraId="4C9B3B15" w14:textId="77777777" w:rsidR="00AE3D53" w:rsidRPr="004A226C" w:rsidRDefault="00AE3D53" w:rsidP="007C2724">
            <w:pPr>
              <w:pStyle w:val="TableParagraph"/>
              <w:spacing w:before="60"/>
              <w:ind w:left="184"/>
              <w:rPr>
                <w:i/>
                <w:sz w:val="20"/>
              </w:rPr>
            </w:pPr>
          </w:p>
          <w:p w14:paraId="7A3666D2" w14:textId="77777777" w:rsidR="00AE3D53" w:rsidRPr="004A226C" w:rsidRDefault="00AE3D53" w:rsidP="007C2724">
            <w:pPr>
              <w:pStyle w:val="TableParagraph"/>
              <w:spacing w:before="60"/>
              <w:ind w:left="184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Dorcas O’Rourke</w:t>
            </w:r>
          </w:p>
          <w:p w14:paraId="14139076" w14:textId="77777777" w:rsidR="00AE3D53" w:rsidRPr="004A226C" w:rsidRDefault="00AE3D53" w:rsidP="007C2724">
            <w:pPr>
              <w:pStyle w:val="TableParagraph"/>
              <w:spacing w:before="60"/>
              <w:ind w:left="184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Cecile Baccanale</w:t>
            </w:r>
          </w:p>
        </w:tc>
        <w:tc>
          <w:tcPr>
            <w:tcW w:w="1158" w:type="dxa"/>
          </w:tcPr>
          <w:p w14:paraId="4D99B03F" w14:textId="77777777" w:rsidR="00AE3D53" w:rsidRDefault="00AE3D53" w:rsidP="007C2724">
            <w:pPr>
              <w:pStyle w:val="TableParagraph"/>
              <w:spacing w:before="60"/>
              <w:ind w:left="184"/>
              <w:rPr>
                <w:i/>
                <w:sz w:val="20"/>
              </w:rPr>
            </w:pPr>
          </w:p>
          <w:p w14:paraId="1C0B2F44" w14:textId="77777777" w:rsidR="00AE3D53" w:rsidRDefault="00AE3D53" w:rsidP="007C2724">
            <w:pPr>
              <w:pStyle w:val="TableParagraph"/>
              <w:spacing w:before="60"/>
              <w:ind w:left="1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7420F707" w14:textId="77777777" w:rsidR="00AE3D53" w:rsidRPr="004A226C" w:rsidRDefault="00AE3D53" w:rsidP="007C2724">
            <w:pPr>
              <w:pStyle w:val="TableParagraph"/>
              <w:spacing w:before="60"/>
              <w:ind w:left="184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</w:tr>
    </w:tbl>
    <w:p w14:paraId="4EF8C236" w14:textId="77777777" w:rsidR="006E28B9" w:rsidRPr="004A226C" w:rsidRDefault="006E28B9" w:rsidP="006E28B9">
      <w:pPr>
        <w:pStyle w:val="BodyText"/>
        <w:spacing w:before="3"/>
        <w:rPr>
          <w:rFonts w:ascii="Times New Roman"/>
          <w:i/>
          <w:sz w:val="4"/>
        </w:rPr>
      </w:pPr>
    </w:p>
    <w:tbl>
      <w:tblPr>
        <w:tblW w:w="0" w:type="auto"/>
        <w:tblInd w:w="502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5760"/>
        <w:gridCol w:w="1620"/>
        <w:gridCol w:w="1148"/>
      </w:tblGrid>
      <w:tr w:rsidR="00AE3D53" w:rsidRPr="004A226C" w14:paraId="21D953E5" w14:textId="77777777" w:rsidTr="00AE3D53">
        <w:trPr>
          <w:trHeight w:val="924"/>
        </w:trPr>
        <w:tc>
          <w:tcPr>
            <w:tcW w:w="1285" w:type="dxa"/>
            <w:tcBorders>
              <w:bottom w:val="nil"/>
            </w:tcBorders>
          </w:tcPr>
          <w:p w14:paraId="383F5F18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lastRenderedPageBreak/>
              <w:t>April 5</w:t>
            </w:r>
          </w:p>
          <w:p w14:paraId="722FEE83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11:30-12:30</w:t>
            </w:r>
          </w:p>
        </w:tc>
        <w:tc>
          <w:tcPr>
            <w:tcW w:w="5760" w:type="dxa"/>
            <w:tcBorders>
              <w:bottom w:val="nil"/>
            </w:tcBorders>
          </w:tcPr>
          <w:p w14:paraId="33DE0CC7" w14:textId="77777777" w:rsidR="00AE3D53" w:rsidRPr="004A226C" w:rsidRDefault="00AE3D53" w:rsidP="00EF1F40">
            <w:pPr>
              <w:pStyle w:val="TableParagraph"/>
              <w:ind w:left="276" w:right="576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 xml:space="preserve">Research Involving Human Subjects and Materials </w:t>
            </w:r>
            <w:r w:rsidRPr="004A226C">
              <w:rPr>
                <w:i/>
                <w:sz w:val="20"/>
              </w:rPr>
              <w:t>– Beyond the basics to reality • Balancing potential conflicts between protecting subjects and accomplishing vital research</w:t>
            </w:r>
          </w:p>
        </w:tc>
        <w:tc>
          <w:tcPr>
            <w:tcW w:w="1620" w:type="dxa"/>
            <w:tcBorders>
              <w:bottom w:val="nil"/>
            </w:tcBorders>
          </w:tcPr>
          <w:p w14:paraId="689D0B6D" w14:textId="77777777" w:rsidR="00AE3D53" w:rsidRPr="004A226C" w:rsidRDefault="00AE3D53" w:rsidP="00EF1F40">
            <w:pPr>
              <w:pStyle w:val="TableParagraph"/>
              <w:ind w:left="184"/>
              <w:rPr>
                <w:i/>
                <w:sz w:val="20"/>
              </w:rPr>
            </w:pPr>
          </w:p>
          <w:p w14:paraId="6BCC4C55" w14:textId="77777777" w:rsidR="00AE3D53" w:rsidRPr="004A226C" w:rsidRDefault="00AE3D53" w:rsidP="00EF1F40">
            <w:pPr>
              <w:pStyle w:val="TableParagraph"/>
              <w:ind w:left="184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Suzanne Sparrow</w:t>
            </w:r>
          </w:p>
          <w:p w14:paraId="17993CC3" w14:textId="77777777" w:rsidR="00AE3D53" w:rsidRPr="004A226C" w:rsidRDefault="00AE3D53" w:rsidP="00EF1F40">
            <w:pPr>
              <w:pStyle w:val="TableParagraph"/>
              <w:ind w:left="184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Kent Briley</w:t>
            </w:r>
          </w:p>
        </w:tc>
        <w:tc>
          <w:tcPr>
            <w:tcW w:w="1148" w:type="dxa"/>
            <w:tcBorders>
              <w:bottom w:val="nil"/>
            </w:tcBorders>
          </w:tcPr>
          <w:p w14:paraId="11AB5E42" w14:textId="77777777" w:rsidR="00AE3D53" w:rsidRDefault="00AE3D53" w:rsidP="00F7614F">
            <w:pPr>
              <w:pStyle w:val="TableParagraph"/>
              <w:ind w:left="0"/>
              <w:rPr>
                <w:i/>
                <w:sz w:val="20"/>
              </w:rPr>
            </w:pPr>
          </w:p>
          <w:p w14:paraId="764BCA90" w14:textId="77777777" w:rsidR="00AE3D53" w:rsidRDefault="00AE3D53" w:rsidP="00EF1F40">
            <w:pPr>
              <w:pStyle w:val="TableParagraph"/>
              <w:ind w:left="1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4BFDB56B" w14:textId="77777777" w:rsidR="00AE3D53" w:rsidRDefault="00AE3D53" w:rsidP="00EF1F40">
            <w:pPr>
              <w:pStyle w:val="TableParagraph"/>
              <w:ind w:left="184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  <w:p w14:paraId="54A6E62E" w14:textId="5F25A49C" w:rsidR="00F7614F" w:rsidRPr="004A226C" w:rsidRDefault="00F7614F" w:rsidP="00F7614F">
            <w:pPr>
              <w:pStyle w:val="TableParagraph"/>
              <w:ind w:left="0"/>
              <w:rPr>
                <w:i/>
                <w:sz w:val="20"/>
              </w:rPr>
            </w:pPr>
          </w:p>
        </w:tc>
      </w:tr>
      <w:tr w:rsidR="00AE3D53" w:rsidRPr="004A226C" w14:paraId="78F902D2" w14:textId="77777777" w:rsidTr="00AE3D53">
        <w:trPr>
          <w:trHeight w:val="347"/>
        </w:trPr>
        <w:tc>
          <w:tcPr>
            <w:tcW w:w="1285" w:type="dxa"/>
            <w:tcBorders>
              <w:bottom w:val="nil"/>
            </w:tcBorders>
          </w:tcPr>
          <w:p w14:paraId="1F97C1A5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April 5</w:t>
            </w:r>
          </w:p>
        </w:tc>
        <w:tc>
          <w:tcPr>
            <w:tcW w:w="5760" w:type="dxa"/>
            <w:vMerge w:val="restart"/>
          </w:tcPr>
          <w:p w14:paraId="64868721" w14:textId="77777777" w:rsidR="00AF7A7D" w:rsidRPr="004A226C" w:rsidRDefault="00AF7A7D" w:rsidP="00AF7A7D">
            <w:pPr>
              <w:ind w:left="285"/>
              <w:rPr>
                <w:rFonts w:asciiTheme="minorHAnsi" w:eastAsia="Times New Roman" w:hAnsiTheme="minorHAnsi" w:cstheme="minorHAnsi"/>
                <w:i/>
                <w:sz w:val="20"/>
                <w:szCs w:val="20"/>
                <w:lang w:bidi="ar-SA"/>
              </w:rPr>
            </w:pPr>
            <w:r w:rsidRPr="004A226C">
              <w:rPr>
                <w:rFonts w:asciiTheme="minorHAnsi" w:hAnsiTheme="minorHAnsi" w:cstheme="minorHAnsi"/>
                <w:b/>
                <w:i/>
                <w:sz w:val="20"/>
              </w:rPr>
              <w:t xml:space="preserve">Difficult Conversations: How to Discuss What Matters Most – </w:t>
            </w:r>
            <w:r w:rsidRPr="004A226C">
              <w:rPr>
                <w:rFonts w:asciiTheme="minorHAnsi" w:hAnsiTheme="minorHAnsi" w:cstheme="minorHAnsi"/>
                <w:i/>
                <w:sz w:val="20"/>
              </w:rPr>
              <w:t xml:space="preserve">Navigating the research environment </w:t>
            </w:r>
            <w:r w:rsidRPr="004A226C">
              <w:rPr>
                <w:i/>
              </w:rPr>
              <w:t xml:space="preserve">• </w:t>
            </w:r>
            <w:r w:rsidRPr="004A22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Norms and assumptions </w:t>
            </w:r>
            <w:r w:rsidRPr="004A226C">
              <w:rPr>
                <w:i/>
              </w:rPr>
              <w:t>•</w:t>
            </w:r>
            <w:r w:rsidRPr="004A226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17FAD688" w14:textId="77777777" w:rsidR="00AF7A7D" w:rsidRPr="004A226C" w:rsidRDefault="00AF7A7D" w:rsidP="00AF7A7D">
            <w:pPr>
              <w:ind w:left="285"/>
              <w:rPr>
                <w:rFonts w:asciiTheme="minorHAnsi" w:eastAsia="Times New Roman" w:hAnsiTheme="minorHAnsi" w:cstheme="minorHAnsi"/>
                <w:i/>
                <w:sz w:val="20"/>
                <w:szCs w:val="20"/>
                <w:lang w:bidi="ar-SA"/>
              </w:rPr>
            </w:pPr>
            <w:r w:rsidRPr="004A226C">
              <w:rPr>
                <w:rFonts w:asciiTheme="minorHAnsi" w:eastAsia="Times New Roman" w:hAnsiTheme="minorHAnsi" w:cstheme="minorHAnsi"/>
                <w:i/>
                <w:sz w:val="20"/>
                <w:szCs w:val="20"/>
                <w:lang w:bidi="ar-SA"/>
              </w:rPr>
              <w:t xml:space="preserve">Using diplomacy when conversations turn towards difficult or sensitive topics </w:t>
            </w:r>
            <w:r w:rsidRPr="004A226C">
              <w:rPr>
                <w:i/>
              </w:rPr>
              <w:t>•</w:t>
            </w:r>
            <w:r w:rsidRPr="004A226C">
              <w:rPr>
                <w:rFonts w:asciiTheme="minorHAnsi" w:eastAsia="Times New Roman" w:hAnsiTheme="minorHAnsi" w:cstheme="minorHAnsi"/>
                <w:i/>
                <w:sz w:val="20"/>
                <w:szCs w:val="20"/>
                <w:lang w:bidi="ar-SA"/>
              </w:rPr>
              <w:t xml:space="preserve"> Tools for effectively engaging in a difficult</w:t>
            </w:r>
          </w:p>
          <w:p w14:paraId="0D04D535" w14:textId="77777777" w:rsidR="00AF7A7D" w:rsidRPr="004A226C" w:rsidRDefault="00AF7A7D" w:rsidP="00AF7A7D">
            <w:pPr>
              <w:widowControl/>
              <w:autoSpaceDE/>
              <w:autoSpaceDN/>
              <w:ind w:left="285"/>
              <w:rPr>
                <w:rFonts w:asciiTheme="minorHAnsi" w:eastAsia="Times New Roman" w:hAnsiTheme="minorHAnsi" w:cstheme="minorHAnsi"/>
                <w:i/>
                <w:sz w:val="20"/>
                <w:szCs w:val="20"/>
                <w:lang w:bidi="ar-SA"/>
              </w:rPr>
            </w:pPr>
            <w:r w:rsidRPr="004A226C">
              <w:rPr>
                <w:rFonts w:asciiTheme="minorHAnsi" w:eastAsia="Times New Roman" w:hAnsiTheme="minorHAnsi" w:cstheme="minorHAnsi"/>
                <w:i/>
                <w:sz w:val="20"/>
                <w:szCs w:val="20"/>
                <w:lang w:bidi="ar-SA"/>
              </w:rPr>
              <w:t>conversation</w:t>
            </w:r>
          </w:p>
          <w:p w14:paraId="1BEC889F" w14:textId="7A6E3621" w:rsidR="00AF7A7D" w:rsidRPr="004A226C" w:rsidRDefault="00AF7A7D" w:rsidP="00EF1F40">
            <w:pPr>
              <w:pStyle w:val="TableParagraph"/>
              <w:ind w:left="276" w:right="388" w:hanging="1"/>
              <w:rPr>
                <w:b/>
                <w:i/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C41FFA5" w14:textId="77777777" w:rsidR="00AE3D53" w:rsidRPr="004A226C" w:rsidRDefault="00AE3D53" w:rsidP="00EF1F40">
            <w:pPr>
              <w:pStyle w:val="TableParagraph"/>
              <w:ind w:left="185"/>
              <w:rPr>
                <w:i/>
                <w:sz w:val="20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14:paraId="6AF94C82" w14:textId="77777777" w:rsidR="00AE3D53" w:rsidRPr="004A226C" w:rsidRDefault="00AE3D53" w:rsidP="00EF1F40">
            <w:pPr>
              <w:pStyle w:val="TableParagraph"/>
              <w:ind w:left="185"/>
              <w:rPr>
                <w:i/>
                <w:sz w:val="20"/>
              </w:rPr>
            </w:pPr>
          </w:p>
        </w:tc>
      </w:tr>
      <w:tr w:rsidR="00AE3D53" w:rsidRPr="004A226C" w14:paraId="20298C7C" w14:textId="77777777" w:rsidTr="00AE3D53">
        <w:trPr>
          <w:trHeight w:val="293"/>
        </w:trPr>
        <w:tc>
          <w:tcPr>
            <w:tcW w:w="1285" w:type="dxa"/>
            <w:tcBorders>
              <w:top w:val="nil"/>
              <w:bottom w:val="nil"/>
            </w:tcBorders>
          </w:tcPr>
          <w:p w14:paraId="03EE2C34" w14:textId="77777777" w:rsidR="00AE3D53" w:rsidRPr="004A226C" w:rsidRDefault="00AE3D53" w:rsidP="00EF1F40">
            <w:pPr>
              <w:pStyle w:val="TableParagraph"/>
              <w:spacing w:before="6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12:30-1:30</w:t>
            </w:r>
          </w:p>
        </w:tc>
        <w:tc>
          <w:tcPr>
            <w:tcW w:w="5760" w:type="dxa"/>
            <w:vMerge/>
            <w:tcBorders>
              <w:top w:val="nil"/>
            </w:tcBorders>
          </w:tcPr>
          <w:p w14:paraId="63226862" w14:textId="77777777" w:rsidR="00AE3D53" w:rsidRPr="004A226C" w:rsidRDefault="00AE3D53" w:rsidP="00EF1F40">
            <w:pPr>
              <w:rPr>
                <w:i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05CC0EB" w14:textId="22520882" w:rsidR="00AF7A7D" w:rsidRPr="004A226C" w:rsidRDefault="00AF7A7D" w:rsidP="00EF1F40">
            <w:pPr>
              <w:pStyle w:val="TableParagraph"/>
              <w:spacing w:before="7"/>
              <w:ind w:left="185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Justin Yeaman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14:paraId="6161DEC5" w14:textId="77777777" w:rsidR="00AE3D53" w:rsidRDefault="00AE3D53" w:rsidP="00EF1F40">
            <w:pPr>
              <w:pStyle w:val="TableParagraph"/>
              <w:spacing w:before="7"/>
              <w:ind w:left="185"/>
              <w:rPr>
                <w:i/>
                <w:sz w:val="20"/>
              </w:rPr>
            </w:pPr>
          </w:p>
          <w:p w14:paraId="7767B6E9" w14:textId="38C78A0E" w:rsidR="00AE3D53" w:rsidRDefault="00AE3D53" w:rsidP="00EF1F40">
            <w:pPr>
              <w:pStyle w:val="TableParagraph"/>
              <w:spacing w:before="7"/>
              <w:ind w:left="18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Laupus</w:t>
            </w:r>
            <w:proofErr w:type="spellEnd"/>
            <w:r>
              <w:rPr>
                <w:i/>
                <w:sz w:val="20"/>
              </w:rPr>
              <w:t xml:space="preserve"> </w:t>
            </w:r>
          </w:p>
          <w:p w14:paraId="02AC1EE3" w14:textId="60E0F97C" w:rsidR="00AF7A7D" w:rsidRPr="004A226C" w:rsidRDefault="00AF7A7D" w:rsidP="00EF1F40">
            <w:pPr>
              <w:pStyle w:val="TableParagraph"/>
              <w:spacing w:before="7"/>
              <w:ind w:left="185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</w:tr>
      <w:tr w:rsidR="00AE3D53" w:rsidRPr="004A226C" w14:paraId="3C68BC01" w14:textId="77777777" w:rsidTr="00F7614F">
        <w:trPr>
          <w:trHeight w:val="438"/>
        </w:trPr>
        <w:tc>
          <w:tcPr>
            <w:tcW w:w="1285" w:type="dxa"/>
            <w:tcBorders>
              <w:top w:val="nil"/>
            </w:tcBorders>
          </w:tcPr>
          <w:p w14:paraId="74FF365B" w14:textId="77777777" w:rsidR="00AE3D53" w:rsidRPr="004A226C" w:rsidRDefault="00AE3D53" w:rsidP="00EF1F40">
            <w:pPr>
              <w:pStyle w:val="TableParagraph"/>
              <w:spacing w:before="5"/>
              <w:ind w:left="0"/>
              <w:rPr>
                <w:b/>
                <w:i/>
                <w:sz w:val="20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 w14:paraId="7DD53292" w14:textId="77777777" w:rsidR="00AE3D53" w:rsidRPr="004A226C" w:rsidRDefault="00AE3D53" w:rsidP="00EF1F40">
            <w:pPr>
              <w:rPr>
                <w:i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7702126E" w14:textId="77777777" w:rsidR="00AE3D53" w:rsidRPr="004A226C" w:rsidRDefault="00AE3D53" w:rsidP="00EF1F40">
            <w:pPr>
              <w:pStyle w:val="TableParagraph"/>
              <w:spacing w:before="0"/>
              <w:ind w:left="0"/>
              <w:rPr>
                <w:rFonts w:ascii="Times New Roman"/>
                <w:i/>
                <w:sz w:val="18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14:paraId="258A0EDB" w14:textId="77777777" w:rsidR="00AE3D53" w:rsidRPr="004A226C" w:rsidRDefault="00AE3D53" w:rsidP="00EF1F40">
            <w:pPr>
              <w:pStyle w:val="TableParagraph"/>
              <w:spacing w:before="0"/>
              <w:ind w:left="0"/>
              <w:rPr>
                <w:rFonts w:ascii="Times New Roman"/>
                <w:i/>
                <w:sz w:val="18"/>
              </w:rPr>
            </w:pPr>
          </w:p>
        </w:tc>
      </w:tr>
      <w:tr w:rsidR="00AE3D53" w:rsidRPr="004A226C" w14:paraId="737E1A3F" w14:textId="77777777" w:rsidTr="00AE3D53">
        <w:trPr>
          <w:trHeight w:val="1096"/>
        </w:trPr>
        <w:tc>
          <w:tcPr>
            <w:tcW w:w="1285" w:type="dxa"/>
          </w:tcPr>
          <w:p w14:paraId="1901410A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April 12</w:t>
            </w:r>
          </w:p>
          <w:p w14:paraId="6028EBD5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11:30-12:30</w:t>
            </w:r>
          </w:p>
        </w:tc>
        <w:tc>
          <w:tcPr>
            <w:tcW w:w="5760" w:type="dxa"/>
          </w:tcPr>
          <w:p w14:paraId="2A2DAA68" w14:textId="43DAB831" w:rsidR="00AE3D53" w:rsidRPr="00EF4791" w:rsidRDefault="00AE3D53" w:rsidP="00EF4791">
            <w:pPr>
              <w:pStyle w:val="TableParagraph"/>
              <w:ind w:left="276" w:right="519" w:hanging="1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4A226C">
              <w:rPr>
                <w:rFonts w:asciiTheme="minorHAnsi" w:hAnsiTheme="minorHAnsi" w:cstheme="minorHAnsi"/>
                <w:b/>
                <w:i/>
                <w:sz w:val="20"/>
              </w:rPr>
              <w:t>Export Controls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 xml:space="preserve"> and Customs</w:t>
            </w:r>
            <w:r w:rsidRPr="004A226C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–</w:t>
            </w:r>
            <w:r w:rsidR="00EF4791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Export control basics</w:t>
            </w:r>
            <w:r w:rsidRPr="004A226C">
              <w:rPr>
                <w:i/>
                <w:sz w:val="20"/>
              </w:rPr>
              <w:t xml:space="preserve"> • </w:t>
            </w:r>
            <w:r>
              <w:rPr>
                <w:i/>
                <w:sz w:val="20"/>
              </w:rPr>
              <w:t xml:space="preserve">How export controls affect universities </w:t>
            </w:r>
            <w:r w:rsidRPr="004A226C">
              <w:rPr>
                <w:i/>
                <w:sz w:val="20"/>
              </w:rPr>
              <w:t xml:space="preserve">• </w:t>
            </w:r>
            <w:r>
              <w:rPr>
                <w:i/>
                <w:sz w:val="20"/>
              </w:rPr>
              <w:t xml:space="preserve">When customs requirements apply </w:t>
            </w:r>
            <w:r w:rsidRPr="004A226C">
              <w:rPr>
                <w:i/>
                <w:sz w:val="20"/>
              </w:rPr>
              <w:t xml:space="preserve">• </w:t>
            </w:r>
            <w:r>
              <w:rPr>
                <w:i/>
                <w:sz w:val="20"/>
              </w:rPr>
              <w:t>Asking for assistance</w:t>
            </w:r>
          </w:p>
        </w:tc>
        <w:tc>
          <w:tcPr>
            <w:tcW w:w="1620" w:type="dxa"/>
          </w:tcPr>
          <w:p w14:paraId="34EF172C" w14:textId="77777777" w:rsidR="00AE3D53" w:rsidRPr="004A226C" w:rsidRDefault="00AE3D53" w:rsidP="00EF1F40">
            <w:pPr>
              <w:pStyle w:val="TableParagraph"/>
              <w:spacing w:before="0"/>
              <w:ind w:left="0" w:right="587"/>
              <w:rPr>
                <w:i/>
                <w:sz w:val="20"/>
              </w:rPr>
            </w:pPr>
          </w:p>
          <w:p w14:paraId="5358C016" w14:textId="0AC6A359" w:rsidR="00AE3D53" w:rsidRDefault="00AE3D53" w:rsidP="004A226C">
            <w:pPr>
              <w:pStyle w:val="TableParagraph"/>
              <w:spacing w:before="0"/>
              <w:ind w:left="0" w:right="105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 xml:space="preserve">    </w:t>
            </w:r>
          </w:p>
          <w:p w14:paraId="0ECDE250" w14:textId="77777777" w:rsidR="00AE3D53" w:rsidRPr="004A226C" w:rsidRDefault="00AE3D53" w:rsidP="00E439DD">
            <w:pPr>
              <w:pStyle w:val="TableParagraph"/>
              <w:spacing w:before="0"/>
              <w:ind w:left="0" w:right="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Daniel Gregory</w:t>
            </w:r>
          </w:p>
        </w:tc>
        <w:tc>
          <w:tcPr>
            <w:tcW w:w="1148" w:type="dxa"/>
          </w:tcPr>
          <w:p w14:paraId="0B6FD422" w14:textId="77777777" w:rsidR="00AE3D53" w:rsidRDefault="00AE3D53" w:rsidP="00EF1F40">
            <w:pPr>
              <w:pStyle w:val="TableParagraph"/>
              <w:spacing w:before="0"/>
              <w:ind w:left="0" w:right="587"/>
              <w:rPr>
                <w:i/>
                <w:sz w:val="20"/>
              </w:rPr>
            </w:pPr>
          </w:p>
          <w:p w14:paraId="5C29D140" w14:textId="77777777" w:rsidR="00AE3D53" w:rsidRDefault="00AE3D53" w:rsidP="00AE3D53">
            <w:pPr>
              <w:pStyle w:val="TableParagraph"/>
              <w:spacing w:before="0"/>
              <w:ind w:left="0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4B4D673B" w14:textId="77777777" w:rsidR="00AE3D53" w:rsidRPr="004A226C" w:rsidRDefault="00AE3D53" w:rsidP="00AE3D53">
            <w:pPr>
              <w:pStyle w:val="TableParagraph"/>
              <w:spacing w:before="0"/>
              <w:ind w:left="0" w:right="6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2502G</w:t>
            </w:r>
          </w:p>
        </w:tc>
      </w:tr>
      <w:tr w:rsidR="00AE3D53" w:rsidRPr="004A226C" w14:paraId="732A5364" w14:textId="77777777" w:rsidTr="00F7614F">
        <w:trPr>
          <w:trHeight w:val="1590"/>
        </w:trPr>
        <w:tc>
          <w:tcPr>
            <w:tcW w:w="1285" w:type="dxa"/>
          </w:tcPr>
          <w:p w14:paraId="47C1DE98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April 12</w:t>
            </w:r>
          </w:p>
          <w:p w14:paraId="738542DC" w14:textId="77777777" w:rsidR="00AE3D53" w:rsidRPr="004A226C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11:30-12:30</w:t>
            </w:r>
          </w:p>
        </w:tc>
        <w:tc>
          <w:tcPr>
            <w:tcW w:w="5760" w:type="dxa"/>
          </w:tcPr>
          <w:p w14:paraId="3973CCEE" w14:textId="77777777" w:rsidR="00AF7A7D" w:rsidRDefault="00AF7A7D" w:rsidP="00AF7A7D">
            <w:pPr>
              <w:pStyle w:val="TableParagraph"/>
              <w:ind w:left="276" w:right="388" w:hanging="1"/>
              <w:rPr>
                <w:i/>
                <w:sz w:val="20"/>
              </w:rPr>
            </w:pPr>
            <w:r w:rsidRPr="004A226C">
              <w:rPr>
                <w:b/>
                <w:i/>
                <w:sz w:val="20"/>
              </w:rPr>
              <w:t>Conflicts of Interest – Recognizing, Acknowledging, Managing</w:t>
            </w:r>
            <w:r>
              <w:rPr>
                <w:b/>
                <w:i/>
                <w:sz w:val="20"/>
              </w:rPr>
              <w:t xml:space="preserve">, </w:t>
            </w:r>
            <w:r w:rsidRPr="00FE15D1">
              <w:rPr>
                <w:b/>
                <w:i/>
                <w:sz w:val="20"/>
              </w:rPr>
              <w:t>Eliminating</w:t>
            </w:r>
            <w:r>
              <w:rPr>
                <w:b/>
                <w:i/>
                <w:sz w:val="20"/>
              </w:rPr>
              <w:t xml:space="preserve"> - </w:t>
            </w:r>
            <w:r w:rsidRPr="004A226C">
              <w:rPr>
                <w:i/>
                <w:sz w:val="20"/>
              </w:rPr>
              <w:t>Avoiding unconscious and subtle unintended bias • Federal and ECU policies and practices with respect to financial conflicts of interests • Institutional COI • Risks of non-financial COIs</w:t>
            </w:r>
          </w:p>
          <w:p w14:paraId="3D15CECD" w14:textId="77777777" w:rsidR="00AE3D53" w:rsidRPr="004A226C" w:rsidRDefault="00AE3D53" w:rsidP="00AF7A7D">
            <w:pPr>
              <w:widowControl/>
              <w:autoSpaceDE/>
              <w:autoSpaceDN/>
              <w:ind w:left="285"/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1620" w:type="dxa"/>
          </w:tcPr>
          <w:p w14:paraId="12BC1D41" w14:textId="444B385B" w:rsidR="00DF5A08" w:rsidRDefault="00AE3D53" w:rsidP="007E4C18">
            <w:pPr>
              <w:pStyle w:val="TableParagraph"/>
              <w:spacing w:before="0"/>
              <w:ind w:left="0" w:right="195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 xml:space="preserve">  </w:t>
            </w:r>
          </w:p>
          <w:p w14:paraId="2DF1F754" w14:textId="3981D167" w:rsidR="00AF7A7D" w:rsidRPr="004A226C" w:rsidRDefault="00AE3D53" w:rsidP="00AF7A7D">
            <w:pPr>
              <w:pStyle w:val="TableParagraph"/>
              <w:spacing w:before="7"/>
              <w:ind w:left="185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 xml:space="preserve"> </w:t>
            </w:r>
            <w:r w:rsidR="00AF7A7D" w:rsidRPr="004A226C">
              <w:rPr>
                <w:i/>
                <w:sz w:val="20"/>
              </w:rPr>
              <w:t>Samuel Sears</w:t>
            </w:r>
          </w:p>
          <w:p w14:paraId="36AA2CB4" w14:textId="77777777" w:rsidR="00AF7A7D" w:rsidRDefault="00AF7A7D" w:rsidP="00AF7A7D">
            <w:pPr>
              <w:pStyle w:val="TableParagraph"/>
              <w:spacing w:before="7"/>
              <w:ind w:left="185"/>
              <w:rPr>
                <w:i/>
                <w:sz w:val="20"/>
              </w:rPr>
            </w:pPr>
            <w:r w:rsidRPr="004A226C">
              <w:rPr>
                <w:i/>
                <w:sz w:val="20"/>
              </w:rPr>
              <w:t>Robert Haberstroh</w:t>
            </w:r>
          </w:p>
          <w:p w14:paraId="08AB54D6" w14:textId="7CD77BA4" w:rsidR="00AE3D53" w:rsidRPr="004A226C" w:rsidRDefault="00AE3D53" w:rsidP="00DF5A08">
            <w:pPr>
              <w:pStyle w:val="TableParagraph"/>
              <w:tabs>
                <w:tab w:val="left" w:pos="105"/>
              </w:tabs>
              <w:spacing w:before="0"/>
              <w:ind w:left="0" w:right="195"/>
              <w:rPr>
                <w:i/>
                <w:sz w:val="20"/>
              </w:rPr>
            </w:pPr>
          </w:p>
        </w:tc>
        <w:tc>
          <w:tcPr>
            <w:tcW w:w="1148" w:type="dxa"/>
          </w:tcPr>
          <w:p w14:paraId="2FE2385C" w14:textId="77777777" w:rsidR="00AE3D53" w:rsidRDefault="00AE3D53" w:rsidP="007E4C18">
            <w:pPr>
              <w:pStyle w:val="TableParagraph"/>
              <w:spacing w:before="0"/>
              <w:ind w:left="0" w:right="195"/>
              <w:rPr>
                <w:i/>
                <w:sz w:val="20"/>
              </w:rPr>
            </w:pPr>
          </w:p>
          <w:p w14:paraId="1498F81E" w14:textId="77777777" w:rsidR="00AE3D53" w:rsidRDefault="00AE3D53" w:rsidP="007E4C18">
            <w:pPr>
              <w:pStyle w:val="TableParagraph"/>
              <w:spacing w:before="0"/>
              <w:ind w:left="0" w:right="195"/>
              <w:rPr>
                <w:i/>
                <w:sz w:val="20"/>
              </w:rPr>
            </w:pPr>
          </w:p>
          <w:p w14:paraId="4B735071" w14:textId="77777777" w:rsidR="00AE3D53" w:rsidRDefault="00AE3D53" w:rsidP="007E4C18">
            <w:pPr>
              <w:pStyle w:val="TableParagraph"/>
              <w:spacing w:before="0"/>
              <w:ind w:left="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21E1EC13" w14:textId="5A08009E" w:rsidR="00AE3D53" w:rsidRPr="004A226C" w:rsidRDefault="00AE3D53" w:rsidP="007E4C18">
            <w:pPr>
              <w:pStyle w:val="TableParagraph"/>
              <w:spacing w:before="0"/>
              <w:ind w:left="0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AF7A7D">
              <w:rPr>
                <w:i/>
                <w:sz w:val="20"/>
              </w:rPr>
              <w:t>1504</w:t>
            </w:r>
            <w:bookmarkStart w:id="9" w:name="_GoBack"/>
            <w:bookmarkEnd w:id="9"/>
          </w:p>
        </w:tc>
      </w:tr>
      <w:tr w:rsidR="00AE3D53" w14:paraId="0E1770CC" w14:textId="77777777" w:rsidTr="00AE3D53">
        <w:trPr>
          <w:trHeight w:val="1096"/>
        </w:trPr>
        <w:tc>
          <w:tcPr>
            <w:tcW w:w="1285" w:type="dxa"/>
          </w:tcPr>
          <w:p w14:paraId="39CE0FE6" w14:textId="77777777" w:rsidR="00AE3D53" w:rsidRPr="009900F3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 w:rsidRPr="009900F3">
              <w:rPr>
                <w:b/>
                <w:i/>
                <w:sz w:val="20"/>
              </w:rPr>
              <w:t>April 12</w:t>
            </w:r>
          </w:p>
          <w:p w14:paraId="3144CC0A" w14:textId="77777777" w:rsidR="00AE3D53" w:rsidRPr="009900F3" w:rsidRDefault="00AE3D53" w:rsidP="00EF1F40">
            <w:pPr>
              <w:pStyle w:val="TableParagraph"/>
              <w:spacing w:before="60"/>
              <w:ind w:left="114"/>
              <w:rPr>
                <w:b/>
                <w:i/>
                <w:sz w:val="20"/>
              </w:rPr>
            </w:pPr>
            <w:r w:rsidRPr="009900F3">
              <w:rPr>
                <w:b/>
                <w:i/>
                <w:sz w:val="20"/>
              </w:rPr>
              <w:t>12:30-1:30</w:t>
            </w:r>
          </w:p>
          <w:p w14:paraId="37545B2C" w14:textId="77777777" w:rsidR="00AE3D53" w:rsidRPr="009900F3" w:rsidRDefault="00AE3D53" w:rsidP="00EF1F40">
            <w:pPr>
              <w:pStyle w:val="TableParagraph"/>
              <w:spacing w:before="61"/>
              <w:rPr>
                <w:b/>
                <w:i/>
                <w:sz w:val="20"/>
              </w:rPr>
            </w:pPr>
          </w:p>
        </w:tc>
        <w:tc>
          <w:tcPr>
            <w:tcW w:w="5760" w:type="dxa"/>
          </w:tcPr>
          <w:p w14:paraId="34F3B16A" w14:textId="7ABAED9F" w:rsidR="00AE3D53" w:rsidRDefault="00AE3D53" w:rsidP="00A310E3">
            <w:pPr>
              <w:pStyle w:val="TableParagraph"/>
              <w:ind w:left="285" w:right="519"/>
              <w:rPr>
                <w:i/>
                <w:sz w:val="20"/>
              </w:rPr>
            </w:pPr>
            <w:r w:rsidRPr="009900F3">
              <w:rPr>
                <w:b/>
                <w:i/>
                <w:sz w:val="20"/>
              </w:rPr>
              <w:t xml:space="preserve">Intellectual Property and Commercialization </w:t>
            </w:r>
            <w:r w:rsidRPr="009900F3">
              <w:rPr>
                <w:i/>
                <w:sz w:val="20"/>
              </w:rPr>
              <w:t xml:space="preserve">– Role of the </w:t>
            </w:r>
            <w:r w:rsidR="00FE15D1">
              <w:rPr>
                <w:i/>
                <w:sz w:val="20"/>
              </w:rPr>
              <w:t>Office of Technology Transfer</w:t>
            </w:r>
            <w:r w:rsidRPr="009900F3">
              <w:rPr>
                <w:i/>
                <w:sz w:val="20"/>
              </w:rPr>
              <w:t xml:space="preserve"> • </w:t>
            </w:r>
            <w:r w:rsidR="00A2194F" w:rsidRPr="00A2194F">
              <w:rPr>
                <w:i/>
                <w:sz w:val="20"/>
                <w:szCs w:val="20"/>
              </w:rPr>
              <w:t>Balancing traditional research outcomes with the university’s obligation to pursue intellectual property protection and commercialization opportunities from products derived from research and scholarship.  The two missions are not mutually exclusive.  </w:t>
            </w:r>
          </w:p>
          <w:p w14:paraId="3A3A8206" w14:textId="6E6F0A86" w:rsidR="00F7614F" w:rsidRPr="009900F3" w:rsidRDefault="00F7614F" w:rsidP="00A310E3">
            <w:pPr>
              <w:pStyle w:val="TableParagraph"/>
              <w:ind w:left="285" w:right="519"/>
              <w:rPr>
                <w:i/>
                <w:sz w:val="20"/>
              </w:rPr>
            </w:pPr>
          </w:p>
        </w:tc>
        <w:tc>
          <w:tcPr>
            <w:tcW w:w="1620" w:type="dxa"/>
          </w:tcPr>
          <w:p w14:paraId="719AEE41" w14:textId="77777777" w:rsidR="00AE3D53" w:rsidRPr="009900F3" w:rsidRDefault="00AE3D53" w:rsidP="00EF1F40">
            <w:pPr>
              <w:pStyle w:val="TableParagraph"/>
              <w:spacing w:before="0"/>
              <w:ind w:left="0" w:right="587"/>
              <w:rPr>
                <w:i/>
                <w:sz w:val="20"/>
              </w:rPr>
            </w:pPr>
          </w:p>
          <w:p w14:paraId="034F5C8E" w14:textId="77777777" w:rsidR="00DF5A08" w:rsidRDefault="00AE3D53" w:rsidP="00EF1F40">
            <w:pPr>
              <w:pStyle w:val="TableParagraph"/>
              <w:spacing w:before="0"/>
              <w:rPr>
                <w:i/>
                <w:sz w:val="20"/>
              </w:rPr>
            </w:pPr>
            <w:r w:rsidRPr="009900F3">
              <w:rPr>
                <w:i/>
                <w:sz w:val="20"/>
              </w:rPr>
              <w:t xml:space="preserve"> </w:t>
            </w:r>
          </w:p>
          <w:p w14:paraId="5FB317CA" w14:textId="55BB08D9" w:rsidR="00AE3D53" w:rsidRPr="009900F3" w:rsidRDefault="00AE3D53" w:rsidP="00EF1F40">
            <w:pPr>
              <w:pStyle w:val="TableParagraph"/>
              <w:spacing w:before="0"/>
              <w:rPr>
                <w:i/>
                <w:sz w:val="20"/>
              </w:rPr>
            </w:pPr>
            <w:r w:rsidRPr="009900F3">
              <w:rPr>
                <w:i/>
                <w:sz w:val="20"/>
              </w:rPr>
              <w:t>Marti Van Scott</w:t>
            </w:r>
          </w:p>
          <w:p w14:paraId="74A49B0A" w14:textId="77777777" w:rsidR="00AE3D53" w:rsidRPr="009900F3" w:rsidRDefault="00AE3D53" w:rsidP="00EF1F40">
            <w:pPr>
              <w:pStyle w:val="TableParagraph"/>
              <w:spacing w:before="0"/>
              <w:rPr>
                <w:i/>
                <w:sz w:val="20"/>
              </w:rPr>
            </w:pPr>
            <w:r w:rsidRPr="009900F3">
              <w:rPr>
                <w:i/>
                <w:sz w:val="20"/>
              </w:rPr>
              <w:t>Carlyle Rogers</w:t>
            </w:r>
          </w:p>
        </w:tc>
        <w:tc>
          <w:tcPr>
            <w:tcW w:w="1148" w:type="dxa"/>
          </w:tcPr>
          <w:p w14:paraId="69DCB5BB" w14:textId="77777777" w:rsidR="00AE3D53" w:rsidRDefault="00AE3D53" w:rsidP="00EF1F40">
            <w:pPr>
              <w:pStyle w:val="TableParagraph"/>
              <w:spacing w:before="0"/>
              <w:ind w:left="0" w:right="587"/>
              <w:rPr>
                <w:i/>
                <w:sz w:val="20"/>
              </w:rPr>
            </w:pPr>
          </w:p>
          <w:p w14:paraId="5334C4BD" w14:textId="77777777" w:rsidR="00AE3D53" w:rsidRDefault="00AE3D53" w:rsidP="00AE3D53">
            <w:pPr>
              <w:pStyle w:val="TableParagraph"/>
              <w:spacing w:before="0"/>
              <w:ind w:left="0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2A6C5F87" w14:textId="77777777" w:rsidR="00AE3D53" w:rsidRDefault="00AE3D53" w:rsidP="00AE3D53">
            <w:pPr>
              <w:pStyle w:val="TableParagraph"/>
              <w:spacing w:before="0"/>
              <w:ind w:left="0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2502G</w:t>
            </w:r>
          </w:p>
          <w:p w14:paraId="1A9981DB" w14:textId="77777777" w:rsidR="00AE3D53" w:rsidRPr="009900F3" w:rsidRDefault="00AE3D53" w:rsidP="00EF1F40">
            <w:pPr>
              <w:pStyle w:val="TableParagraph"/>
              <w:spacing w:before="0"/>
              <w:ind w:left="0" w:right="58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</w:p>
        </w:tc>
      </w:tr>
      <w:tr w:rsidR="00AE3D53" w14:paraId="71AC10FE" w14:textId="77777777" w:rsidTr="00AE3D53">
        <w:trPr>
          <w:trHeight w:val="1096"/>
        </w:trPr>
        <w:tc>
          <w:tcPr>
            <w:tcW w:w="1285" w:type="dxa"/>
          </w:tcPr>
          <w:p w14:paraId="05E12271" w14:textId="0389C4EC" w:rsidR="00AE3D53" w:rsidRDefault="00AE3D53" w:rsidP="00EF1F40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April </w:t>
            </w:r>
            <w:r w:rsidR="004C5429">
              <w:rPr>
                <w:b/>
                <w:i/>
                <w:sz w:val="20"/>
              </w:rPr>
              <w:t>26</w:t>
            </w:r>
          </w:p>
          <w:p w14:paraId="344F0B77" w14:textId="0256E934" w:rsidR="008D10B1" w:rsidRPr="009900F3" w:rsidRDefault="008D10B1" w:rsidP="00EF1F40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11:30-1:00</w:t>
            </w:r>
          </w:p>
        </w:tc>
        <w:tc>
          <w:tcPr>
            <w:tcW w:w="5760" w:type="dxa"/>
          </w:tcPr>
          <w:p w14:paraId="5777A766" w14:textId="7B77AEA1" w:rsidR="00AE3D53" w:rsidRPr="00DF5A08" w:rsidRDefault="00AE3D53" w:rsidP="00A310E3">
            <w:pPr>
              <w:pStyle w:val="TableParagraph"/>
              <w:ind w:left="285" w:right="519"/>
              <w:rPr>
                <w:i/>
                <w:sz w:val="20"/>
                <w:szCs w:val="20"/>
              </w:rPr>
            </w:pPr>
            <w:r w:rsidRPr="00AE3D53">
              <w:rPr>
                <w:b/>
                <w:i/>
                <w:sz w:val="20"/>
                <w:szCs w:val="20"/>
              </w:rPr>
              <w:t>*Risk Mitigation in Research Facilities</w:t>
            </w:r>
            <w:r w:rsidR="00DF5A08" w:rsidRPr="009900F3">
              <w:rPr>
                <w:b/>
                <w:i/>
                <w:sz w:val="20"/>
              </w:rPr>
              <w:t xml:space="preserve"> </w:t>
            </w:r>
            <w:r w:rsidR="00DF5A08" w:rsidRPr="009900F3">
              <w:rPr>
                <w:i/>
                <w:sz w:val="20"/>
              </w:rPr>
              <w:t>–</w:t>
            </w:r>
            <w:r w:rsidR="00DF5A08">
              <w:rPr>
                <w:i/>
                <w:sz w:val="20"/>
              </w:rPr>
              <w:t xml:space="preserve"> Unique variety of hazards associated with research labs </w:t>
            </w:r>
            <w:r w:rsidR="00DF5A08" w:rsidRPr="004A226C">
              <w:rPr>
                <w:i/>
              </w:rPr>
              <w:t>•</w:t>
            </w:r>
            <w:r w:rsidR="00DF5A08">
              <w:rPr>
                <w:i/>
              </w:rPr>
              <w:t xml:space="preserve"> </w:t>
            </w:r>
            <w:r w:rsidR="00DF5A08">
              <w:rPr>
                <w:i/>
                <w:sz w:val="20"/>
                <w:szCs w:val="20"/>
              </w:rPr>
              <w:t xml:space="preserve">Management of challenging emerging risks in research laboratories </w:t>
            </w:r>
            <w:r w:rsidR="00DF5A08" w:rsidRPr="009900F3">
              <w:rPr>
                <w:i/>
                <w:sz w:val="20"/>
              </w:rPr>
              <w:t>•</w:t>
            </w:r>
            <w:r w:rsidR="00DF5A08">
              <w:rPr>
                <w:i/>
                <w:sz w:val="20"/>
                <w:szCs w:val="20"/>
              </w:rPr>
              <w:t xml:space="preserve"> Hazard mitigation tools</w:t>
            </w:r>
          </w:p>
        </w:tc>
        <w:tc>
          <w:tcPr>
            <w:tcW w:w="1620" w:type="dxa"/>
          </w:tcPr>
          <w:p w14:paraId="54E4CDFF" w14:textId="77777777" w:rsidR="00DF5A08" w:rsidRDefault="00AE3D53" w:rsidP="00AE3D53">
            <w:pPr>
              <w:pStyle w:val="TableParagraph"/>
              <w:spacing w:before="0"/>
              <w:ind w:left="0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</w:p>
          <w:p w14:paraId="245DE5B9" w14:textId="169E6065" w:rsidR="00AE3D53" w:rsidRDefault="00AE3D53" w:rsidP="00AE3D53">
            <w:pPr>
              <w:pStyle w:val="TableParagraph"/>
              <w:spacing w:before="0"/>
              <w:ind w:left="0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Kelly Shook</w:t>
            </w:r>
          </w:p>
          <w:p w14:paraId="4142B2BD" w14:textId="77777777" w:rsidR="00AE3D53" w:rsidRPr="009900F3" w:rsidRDefault="00AE3D53" w:rsidP="00AE3D53">
            <w:pPr>
              <w:pStyle w:val="TableParagraph"/>
              <w:spacing w:before="0"/>
              <w:ind w:left="0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Gaelle Deshayes</w:t>
            </w:r>
          </w:p>
        </w:tc>
        <w:tc>
          <w:tcPr>
            <w:tcW w:w="1148" w:type="dxa"/>
          </w:tcPr>
          <w:p w14:paraId="36CFCFE8" w14:textId="77777777" w:rsidR="00AE3D53" w:rsidRDefault="00AE3D53" w:rsidP="00AE3D53">
            <w:pPr>
              <w:pStyle w:val="TableParagraph"/>
              <w:spacing w:before="0"/>
              <w:ind w:left="0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proofErr w:type="spellStart"/>
            <w:r>
              <w:rPr>
                <w:i/>
                <w:sz w:val="20"/>
              </w:rPr>
              <w:t>Laupus</w:t>
            </w:r>
            <w:proofErr w:type="spellEnd"/>
          </w:p>
          <w:p w14:paraId="5D67C98D" w14:textId="77777777" w:rsidR="00AE3D53" w:rsidRPr="009900F3" w:rsidRDefault="00AE3D53" w:rsidP="00AE3D53">
            <w:pPr>
              <w:pStyle w:val="TableParagraph"/>
              <w:spacing w:before="0"/>
              <w:ind w:left="0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1504</w:t>
            </w:r>
          </w:p>
        </w:tc>
      </w:tr>
    </w:tbl>
    <w:p w14:paraId="7114DA41" w14:textId="77777777" w:rsidR="0005036B" w:rsidRDefault="0005036B" w:rsidP="004B2D9A">
      <w:pPr>
        <w:pStyle w:val="BodyText"/>
        <w:spacing w:before="3"/>
        <w:rPr>
          <w:rFonts w:ascii="Times New Roman"/>
          <w:sz w:val="4"/>
        </w:rPr>
      </w:pPr>
    </w:p>
    <w:sectPr w:rsidR="0005036B" w:rsidSect="00F76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677" w:bottom="576" w:left="706" w:header="3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C089C" w14:textId="77777777" w:rsidR="00AE0B6B" w:rsidRDefault="00AE0B6B">
      <w:r>
        <w:separator/>
      </w:r>
    </w:p>
  </w:endnote>
  <w:endnote w:type="continuationSeparator" w:id="0">
    <w:p w14:paraId="41E53A4F" w14:textId="77777777" w:rsidR="00AE0B6B" w:rsidRDefault="00AE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9DF54" w14:textId="77777777" w:rsidR="00573D42" w:rsidRDefault="00573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578D" w14:textId="77777777" w:rsidR="00573D42" w:rsidRDefault="00573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F04AE" w14:textId="77777777" w:rsidR="00573D42" w:rsidRDefault="0057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2A3E" w14:textId="77777777" w:rsidR="00AE0B6B" w:rsidRDefault="00AE0B6B">
      <w:r>
        <w:separator/>
      </w:r>
    </w:p>
  </w:footnote>
  <w:footnote w:type="continuationSeparator" w:id="0">
    <w:p w14:paraId="11C234F7" w14:textId="77777777" w:rsidR="00AE0B6B" w:rsidRDefault="00AE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92B9B" w14:textId="77777777" w:rsidR="00573D42" w:rsidRDefault="00573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397E" w14:textId="77777777" w:rsidR="0005036B" w:rsidRDefault="0005036B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246A" w14:textId="77777777" w:rsidR="00573D42" w:rsidRDefault="00573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4EC4"/>
    <w:multiLevelType w:val="hybridMultilevel"/>
    <w:tmpl w:val="ECBC8500"/>
    <w:lvl w:ilvl="0" w:tplc="C20CE914">
      <w:numFmt w:val="bullet"/>
      <w:lvlText w:val="•"/>
      <w:lvlJc w:val="left"/>
      <w:pPr>
        <w:ind w:left="276" w:hanging="145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29C0028C">
      <w:numFmt w:val="bullet"/>
      <w:lvlText w:val="•"/>
      <w:lvlJc w:val="left"/>
      <w:pPr>
        <w:ind w:left="827" w:hanging="145"/>
      </w:pPr>
      <w:rPr>
        <w:rFonts w:hint="default"/>
        <w:lang w:val="en-US" w:eastAsia="en-US" w:bidi="en-US"/>
      </w:rPr>
    </w:lvl>
    <w:lvl w:ilvl="2" w:tplc="FF6A3CDE">
      <w:numFmt w:val="bullet"/>
      <w:lvlText w:val="•"/>
      <w:lvlJc w:val="left"/>
      <w:pPr>
        <w:ind w:left="1374" w:hanging="145"/>
      </w:pPr>
      <w:rPr>
        <w:rFonts w:hint="default"/>
        <w:lang w:val="en-US" w:eastAsia="en-US" w:bidi="en-US"/>
      </w:rPr>
    </w:lvl>
    <w:lvl w:ilvl="3" w:tplc="674E915E">
      <w:numFmt w:val="bullet"/>
      <w:lvlText w:val="•"/>
      <w:lvlJc w:val="left"/>
      <w:pPr>
        <w:ind w:left="1921" w:hanging="145"/>
      </w:pPr>
      <w:rPr>
        <w:rFonts w:hint="default"/>
        <w:lang w:val="en-US" w:eastAsia="en-US" w:bidi="en-US"/>
      </w:rPr>
    </w:lvl>
    <w:lvl w:ilvl="4" w:tplc="2F1E115E">
      <w:numFmt w:val="bullet"/>
      <w:lvlText w:val="•"/>
      <w:lvlJc w:val="left"/>
      <w:pPr>
        <w:ind w:left="2468" w:hanging="145"/>
      </w:pPr>
      <w:rPr>
        <w:rFonts w:hint="default"/>
        <w:lang w:val="en-US" w:eastAsia="en-US" w:bidi="en-US"/>
      </w:rPr>
    </w:lvl>
    <w:lvl w:ilvl="5" w:tplc="B0D6B798">
      <w:numFmt w:val="bullet"/>
      <w:lvlText w:val="•"/>
      <w:lvlJc w:val="left"/>
      <w:pPr>
        <w:ind w:left="3015" w:hanging="145"/>
      </w:pPr>
      <w:rPr>
        <w:rFonts w:hint="default"/>
        <w:lang w:val="en-US" w:eastAsia="en-US" w:bidi="en-US"/>
      </w:rPr>
    </w:lvl>
    <w:lvl w:ilvl="6" w:tplc="EDDEFCB2">
      <w:numFmt w:val="bullet"/>
      <w:lvlText w:val="•"/>
      <w:lvlJc w:val="left"/>
      <w:pPr>
        <w:ind w:left="3562" w:hanging="145"/>
      </w:pPr>
      <w:rPr>
        <w:rFonts w:hint="default"/>
        <w:lang w:val="en-US" w:eastAsia="en-US" w:bidi="en-US"/>
      </w:rPr>
    </w:lvl>
    <w:lvl w:ilvl="7" w:tplc="028E6726">
      <w:numFmt w:val="bullet"/>
      <w:lvlText w:val="•"/>
      <w:lvlJc w:val="left"/>
      <w:pPr>
        <w:ind w:left="4109" w:hanging="145"/>
      </w:pPr>
      <w:rPr>
        <w:rFonts w:hint="default"/>
        <w:lang w:val="en-US" w:eastAsia="en-US" w:bidi="en-US"/>
      </w:rPr>
    </w:lvl>
    <w:lvl w:ilvl="8" w:tplc="BDB2C84A">
      <w:numFmt w:val="bullet"/>
      <w:lvlText w:val="•"/>
      <w:lvlJc w:val="left"/>
      <w:pPr>
        <w:ind w:left="4656" w:hanging="145"/>
      </w:pPr>
      <w:rPr>
        <w:rFonts w:hint="default"/>
        <w:lang w:val="en-US" w:eastAsia="en-US" w:bidi="en-US"/>
      </w:rPr>
    </w:lvl>
  </w:abstractNum>
  <w:abstractNum w:abstractNumId="1" w15:restartNumberingAfterBreak="0">
    <w:nsid w:val="65890A7A"/>
    <w:multiLevelType w:val="multilevel"/>
    <w:tmpl w:val="37D8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B"/>
    <w:rsid w:val="00011C80"/>
    <w:rsid w:val="0005036B"/>
    <w:rsid w:val="000839A9"/>
    <w:rsid w:val="000840CF"/>
    <w:rsid w:val="000E3924"/>
    <w:rsid w:val="001476FC"/>
    <w:rsid w:val="001623AA"/>
    <w:rsid w:val="001764DC"/>
    <w:rsid w:val="00237DB6"/>
    <w:rsid w:val="002542B2"/>
    <w:rsid w:val="00270768"/>
    <w:rsid w:val="002B23E2"/>
    <w:rsid w:val="002D7C00"/>
    <w:rsid w:val="002E6CE7"/>
    <w:rsid w:val="00313C75"/>
    <w:rsid w:val="003457C2"/>
    <w:rsid w:val="00370EA3"/>
    <w:rsid w:val="003A2E2C"/>
    <w:rsid w:val="003D5B55"/>
    <w:rsid w:val="00416DCB"/>
    <w:rsid w:val="004251E5"/>
    <w:rsid w:val="00437172"/>
    <w:rsid w:val="004576A5"/>
    <w:rsid w:val="00472BCD"/>
    <w:rsid w:val="004A226C"/>
    <w:rsid w:val="004A3B7C"/>
    <w:rsid w:val="004B2D9A"/>
    <w:rsid w:val="004C5429"/>
    <w:rsid w:val="00510CDE"/>
    <w:rsid w:val="00527ABB"/>
    <w:rsid w:val="00573D42"/>
    <w:rsid w:val="00582FD4"/>
    <w:rsid w:val="00597C9E"/>
    <w:rsid w:val="005C0498"/>
    <w:rsid w:val="005E0A48"/>
    <w:rsid w:val="00667332"/>
    <w:rsid w:val="00682BDF"/>
    <w:rsid w:val="006E28B9"/>
    <w:rsid w:val="007010F5"/>
    <w:rsid w:val="007474D2"/>
    <w:rsid w:val="0075391A"/>
    <w:rsid w:val="00786299"/>
    <w:rsid w:val="007917C4"/>
    <w:rsid w:val="007C2724"/>
    <w:rsid w:val="007E4C18"/>
    <w:rsid w:val="00816EF6"/>
    <w:rsid w:val="00824AD9"/>
    <w:rsid w:val="008272E3"/>
    <w:rsid w:val="00857F01"/>
    <w:rsid w:val="008644CC"/>
    <w:rsid w:val="0086494B"/>
    <w:rsid w:val="008712C7"/>
    <w:rsid w:val="008D10B1"/>
    <w:rsid w:val="008D71C3"/>
    <w:rsid w:val="00920D81"/>
    <w:rsid w:val="00933411"/>
    <w:rsid w:val="00950117"/>
    <w:rsid w:val="00974665"/>
    <w:rsid w:val="009900F3"/>
    <w:rsid w:val="009A3E16"/>
    <w:rsid w:val="009E4A13"/>
    <w:rsid w:val="00A1740D"/>
    <w:rsid w:val="00A2194F"/>
    <w:rsid w:val="00A310E3"/>
    <w:rsid w:val="00A3725A"/>
    <w:rsid w:val="00A50360"/>
    <w:rsid w:val="00AE0B6B"/>
    <w:rsid w:val="00AE3D53"/>
    <w:rsid w:val="00AF7A7D"/>
    <w:rsid w:val="00B0286C"/>
    <w:rsid w:val="00B15760"/>
    <w:rsid w:val="00B1635C"/>
    <w:rsid w:val="00B2126E"/>
    <w:rsid w:val="00B80CCA"/>
    <w:rsid w:val="00B92219"/>
    <w:rsid w:val="00BD3F08"/>
    <w:rsid w:val="00BF6ED9"/>
    <w:rsid w:val="00C173FC"/>
    <w:rsid w:val="00C2202E"/>
    <w:rsid w:val="00C861D2"/>
    <w:rsid w:val="00C958AB"/>
    <w:rsid w:val="00CA2B35"/>
    <w:rsid w:val="00CC3916"/>
    <w:rsid w:val="00CD40D6"/>
    <w:rsid w:val="00CD456D"/>
    <w:rsid w:val="00D079A5"/>
    <w:rsid w:val="00D31947"/>
    <w:rsid w:val="00D96551"/>
    <w:rsid w:val="00DD5261"/>
    <w:rsid w:val="00DF232C"/>
    <w:rsid w:val="00DF5A08"/>
    <w:rsid w:val="00E175F8"/>
    <w:rsid w:val="00E313A8"/>
    <w:rsid w:val="00E439DD"/>
    <w:rsid w:val="00EE7377"/>
    <w:rsid w:val="00EF4791"/>
    <w:rsid w:val="00F6142A"/>
    <w:rsid w:val="00F644D2"/>
    <w:rsid w:val="00F7614F"/>
    <w:rsid w:val="00F83D18"/>
    <w:rsid w:val="00F8443A"/>
    <w:rsid w:val="00F90550"/>
    <w:rsid w:val="00F9280F"/>
    <w:rsid w:val="00FB4C67"/>
    <w:rsid w:val="00FB5A63"/>
    <w:rsid w:val="00FD6ECC"/>
    <w:rsid w:val="00FE15D1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99691"/>
  <w15:docId w15:val="{DD099588-A634-4C85-B882-E0958AF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740"/>
      <w:outlineLvl w:val="0"/>
    </w:pPr>
    <w:rPr>
      <w:rFonts w:ascii="Calibri Light" w:eastAsia="Calibri Light" w:hAnsi="Calibri Light" w:cs="Calibri Ligh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15"/>
    </w:pPr>
  </w:style>
  <w:style w:type="paragraph" w:styleId="Header">
    <w:name w:val="header"/>
    <w:basedOn w:val="Normal"/>
    <w:link w:val="HeaderChar"/>
    <w:uiPriority w:val="99"/>
    <w:unhideWhenUsed/>
    <w:rsid w:val="00510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CDE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0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CDE"/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unhideWhenUsed/>
    <w:rsid w:val="000E39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1AAF-A7F1-4D73-B09E-03A05C41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6188</Characters>
  <Application>Microsoft Office Word</Application>
  <DocSecurity>0</DocSecurity>
  <Lines>193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Spears</dc:creator>
  <cp:lastModifiedBy>Haberstroh, Robert William, III</cp:lastModifiedBy>
  <cp:revision>2</cp:revision>
  <cp:lastPrinted>2019-02-15T14:42:00Z</cp:lastPrinted>
  <dcterms:created xsi:type="dcterms:W3CDTF">2019-03-12T15:55:00Z</dcterms:created>
  <dcterms:modified xsi:type="dcterms:W3CDTF">2019-03-12T15:55:00Z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2019-01-16T00:00:00Z</vt:filetime>
  </property>
</Properties>
</file>