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34" w:rsidRPr="00130472" w:rsidRDefault="00A6236E" w:rsidP="00F249A5">
      <w:pPr>
        <w:spacing w:before="300" w:after="150" w:line="240" w:lineRule="auto"/>
        <w:ind w:left="-540" w:right="-540"/>
        <w:jc w:val="center"/>
        <w:outlineLvl w:val="2"/>
        <w:rPr>
          <w:rFonts w:ascii="Arial" w:eastAsia="Times New Roman" w:hAnsi="Arial" w:cs="Arial"/>
          <w:color w:val="333333"/>
          <w:sz w:val="28"/>
          <w:szCs w:val="28"/>
        </w:rPr>
      </w:pPr>
      <w:bookmarkStart w:id="0" w:name="_GoBack"/>
      <w:bookmarkEnd w:id="0"/>
      <w:r w:rsidRPr="00130472">
        <w:rPr>
          <w:rFonts w:ascii="Arial" w:eastAsia="Times New Roman" w:hAnsi="Arial" w:cs="Arial"/>
          <w:color w:val="333333"/>
          <w:sz w:val="28"/>
          <w:szCs w:val="28"/>
        </w:rPr>
        <w:t xml:space="preserve">Plan for </w:t>
      </w:r>
      <w:r w:rsidR="006A7934" w:rsidRPr="00130472">
        <w:rPr>
          <w:rFonts w:ascii="Arial" w:eastAsia="Times New Roman" w:hAnsi="Arial" w:cs="Arial"/>
          <w:color w:val="333333"/>
          <w:sz w:val="28"/>
          <w:szCs w:val="28"/>
        </w:rPr>
        <w:t xml:space="preserve">Training in </w:t>
      </w:r>
      <w:r w:rsidR="00E90DE0" w:rsidRPr="00130472">
        <w:rPr>
          <w:rFonts w:ascii="Arial" w:eastAsia="Times New Roman" w:hAnsi="Arial" w:cs="Arial"/>
          <w:color w:val="333333"/>
          <w:sz w:val="28"/>
          <w:szCs w:val="28"/>
        </w:rPr>
        <w:t xml:space="preserve">the </w:t>
      </w:r>
      <w:r w:rsidR="006A7934" w:rsidRPr="00130472">
        <w:rPr>
          <w:rFonts w:ascii="Arial" w:eastAsia="Times New Roman" w:hAnsi="Arial" w:cs="Arial"/>
          <w:color w:val="333333"/>
          <w:sz w:val="28"/>
          <w:szCs w:val="28"/>
        </w:rPr>
        <w:t>Responsible Conduct of Research (RCR)</w:t>
      </w:r>
    </w:p>
    <w:p w:rsidR="004608AD" w:rsidRDefault="006A7934" w:rsidP="00556033">
      <w:pPr>
        <w:spacing w:after="0" w:line="240" w:lineRule="auto"/>
        <w:ind w:left="-540" w:right="-540"/>
        <w:rPr>
          <w:rFonts w:ascii="Helvetica" w:eastAsia="Times New Roman" w:hAnsi="Helvetica" w:cs="Helvetica"/>
          <w:b/>
          <w:bCs/>
          <w:color w:val="333333"/>
        </w:rPr>
      </w:pPr>
      <w:r w:rsidRPr="007543BF">
        <w:rPr>
          <w:rFonts w:ascii="Helvetica" w:eastAsia="Times New Roman" w:hAnsi="Helvetica" w:cs="Helvetica"/>
          <w:b/>
          <w:bCs/>
          <w:color w:val="333333"/>
        </w:rPr>
        <w:t>Format</w:t>
      </w:r>
      <w:r w:rsidR="004608AD">
        <w:rPr>
          <w:rFonts w:ascii="Helvetica" w:eastAsia="Times New Roman" w:hAnsi="Helvetica" w:cs="Helvetica"/>
          <w:b/>
          <w:bCs/>
          <w:color w:val="333333"/>
        </w:rPr>
        <w:t xml:space="preserve">. </w:t>
      </w:r>
      <w:r w:rsidR="00A550D9" w:rsidRPr="007543BF">
        <w:rPr>
          <w:rFonts w:ascii="Helvetica" w:eastAsia="Times New Roman" w:hAnsi="Helvetica" w:cs="Helvetica"/>
          <w:color w:val="333333"/>
        </w:rPr>
        <w:t>For NIH sponsored</w:t>
      </w:r>
      <w:r w:rsidR="007B1E60" w:rsidRPr="007543BF">
        <w:rPr>
          <w:rFonts w:ascii="Helvetica" w:eastAsia="Times New Roman" w:hAnsi="Helvetica" w:cs="Helvetica"/>
          <w:color w:val="333333"/>
        </w:rPr>
        <w:t xml:space="preserve"> career development</w:t>
      </w:r>
      <w:r w:rsidR="00A550D9" w:rsidRPr="007543BF">
        <w:rPr>
          <w:rFonts w:ascii="Helvetica" w:eastAsia="Times New Roman" w:hAnsi="Helvetica" w:cs="Helvetica"/>
          <w:color w:val="333333"/>
        </w:rPr>
        <w:t xml:space="preserve"> </w:t>
      </w:r>
      <w:r w:rsidR="007B1E60" w:rsidRPr="007543BF">
        <w:rPr>
          <w:rFonts w:ascii="Helvetica" w:eastAsia="Times New Roman" w:hAnsi="Helvetica" w:cs="Helvetica"/>
          <w:color w:val="333333"/>
        </w:rPr>
        <w:t>and training grants</w:t>
      </w:r>
      <w:r w:rsidR="00A550D9" w:rsidRPr="007543BF">
        <w:rPr>
          <w:rFonts w:ascii="Helvetica" w:eastAsia="Times New Roman" w:hAnsi="Helvetica" w:cs="Helvetica"/>
          <w:color w:val="333333"/>
        </w:rPr>
        <w:t>, all students regardless of career level, are offered and must complete a minimum of eight hours of face-to-face training</w:t>
      </w:r>
      <w:r w:rsidR="007B1E60" w:rsidRPr="007543BF">
        <w:rPr>
          <w:rFonts w:ascii="Helvetica" w:eastAsia="Times New Roman" w:hAnsi="Helvetica" w:cs="Helvetica"/>
          <w:color w:val="333333"/>
        </w:rPr>
        <w:t xml:space="preserve"> in RCR</w:t>
      </w:r>
      <w:r w:rsidR="005B780B">
        <w:rPr>
          <w:rFonts w:ascii="Helvetica" w:eastAsia="Times New Roman" w:hAnsi="Helvetica" w:cs="Helvetica"/>
          <w:color w:val="333333"/>
        </w:rPr>
        <w:t>.</w:t>
      </w:r>
      <w:r w:rsidR="007B1E60" w:rsidRPr="007543BF">
        <w:rPr>
          <w:rFonts w:ascii="Helvetica" w:eastAsia="Times New Roman" w:hAnsi="Helvetica" w:cs="Helvetica"/>
          <w:color w:val="333333"/>
        </w:rPr>
        <w:t xml:space="preserve">  </w:t>
      </w:r>
    </w:p>
    <w:p w:rsidR="004608AD" w:rsidRDefault="004608AD" w:rsidP="00556033">
      <w:pPr>
        <w:spacing w:after="0" w:line="240" w:lineRule="auto"/>
        <w:ind w:left="-540" w:right="-540"/>
        <w:rPr>
          <w:rFonts w:ascii="Helvetica" w:eastAsia="Times New Roman" w:hAnsi="Helvetica" w:cs="Helvetica"/>
          <w:b/>
          <w:color w:val="333333"/>
        </w:rPr>
      </w:pPr>
    </w:p>
    <w:p w:rsidR="004608AD" w:rsidRDefault="00EF1038" w:rsidP="004608AD">
      <w:pPr>
        <w:spacing w:after="0" w:line="240" w:lineRule="auto"/>
        <w:ind w:left="-540" w:right="-540"/>
        <w:rPr>
          <w:rFonts w:ascii="Helvetica" w:eastAsia="Times New Roman" w:hAnsi="Helvetica" w:cs="Helvetica"/>
          <w:b/>
          <w:bCs/>
          <w:color w:val="333333"/>
        </w:rPr>
      </w:pPr>
      <w:r w:rsidRPr="00EF1038">
        <w:rPr>
          <w:rFonts w:ascii="Helvetica" w:eastAsia="Times New Roman" w:hAnsi="Helvetica" w:cs="Helvetica"/>
          <w:b/>
          <w:color w:val="333333"/>
        </w:rPr>
        <w:t>Audience</w:t>
      </w:r>
      <w:r w:rsidR="004608AD">
        <w:rPr>
          <w:rFonts w:ascii="Helvetica" w:eastAsia="Times New Roman" w:hAnsi="Helvetica" w:cs="Helvetica"/>
          <w:b/>
          <w:color w:val="333333"/>
        </w:rPr>
        <w:t xml:space="preserve">. </w:t>
      </w:r>
      <w:r>
        <w:rPr>
          <w:rFonts w:ascii="Helvetica" w:eastAsia="Times New Roman" w:hAnsi="Helvetica" w:cs="Helvetica"/>
          <w:color w:val="333333"/>
        </w:rPr>
        <w:t>A</w:t>
      </w:r>
      <w:r w:rsidR="007B1E60" w:rsidRPr="007543BF">
        <w:rPr>
          <w:rFonts w:ascii="Helvetica" w:eastAsia="Times New Roman" w:hAnsi="Helvetica" w:cs="Helvetica"/>
          <w:color w:val="333333"/>
        </w:rPr>
        <w:t xml:space="preserve">ll postdoctoral scholars, regardless of sponsorship, </w:t>
      </w:r>
      <w:r>
        <w:rPr>
          <w:rFonts w:ascii="Helvetica" w:eastAsia="Times New Roman" w:hAnsi="Helvetica" w:cs="Helvetica"/>
          <w:color w:val="333333"/>
        </w:rPr>
        <w:t xml:space="preserve">are required </w:t>
      </w:r>
      <w:r w:rsidR="007B1E60" w:rsidRPr="007543BF">
        <w:rPr>
          <w:rFonts w:ascii="Helvetica" w:eastAsia="Times New Roman" w:hAnsi="Helvetica" w:cs="Helvetica"/>
          <w:color w:val="333333"/>
        </w:rPr>
        <w:t>to complete eight hours of training in RCR</w:t>
      </w:r>
      <w:r w:rsidR="0081732B" w:rsidRPr="007543BF">
        <w:rPr>
          <w:rFonts w:ascii="Helvetica" w:eastAsia="Times New Roman" w:hAnsi="Helvetica" w:cs="Helvetica"/>
          <w:color w:val="333333"/>
        </w:rPr>
        <w:t xml:space="preserve"> during their first year at ECU</w:t>
      </w:r>
      <w:r w:rsidR="007B1E60" w:rsidRPr="007543BF">
        <w:rPr>
          <w:rFonts w:ascii="Helvetica" w:eastAsia="Times New Roman" w:hAnsi="Helvetica" w:cs="Helvetica"/>
          <w:color w:val="333333"/>
        </w:rPr>
        <w:t xml:space="preserve">.  The </w:t>
      </w:r>
      <w:r w:rsidR="007B1E60" w:rsidRPr="00B1522C">
        <w:rPr>
          <w:rFonts w:ascii="Helvetica" w:eastAsia="Times New Roman" w:hAnsi="Helvetica" w:cs="Helvetica"/>
          <w:b/>
          <w:color w:val="333333"/>
        </w:rPr>
        <w:t xml:space="preserve">Postdoc RCR </w:t>
      </w:r>
      <w:r w:rsidR="00FD72B7" w:rsidRPr="00B1522C">
        <w:rPr>
          <w:rFonts w:ascii="Helvetica" w:eastAsia="Times New Roman" w:hAnsi="Helvetica" w:cs="Helvetica"/>
          <w:b/>
          <w:color w:val="333333"/>
        </w:rPr>
        <w:t>Series</w:t>
      </w:r>
      <w:r w:rsidR="007B1E60" w:rsidRPr="007543BF">
        <w:rPr>
          <w:rFonts w:ascii="Helvetica" w:eastAsia="Times New Roman" w:hAnsi="Helvetica" w:cs="Helvetica"/>
          <w:color w:val="333333"/>
        </w:rPr>
        <w:t xml:space="preserve"> is offered twice annually (spring and fall semesters).  Instructed by faculty and staff, the course is designed primarily for postdoctoral scholars, but is open to any ECU student, faculty, or staff member at any career stage wishing to complete RCR </w:t>
      </w:r>
      <w:r w:rsidR="00B16943" w:rsidRPr="007543BF">
        <w:rPr>
          <w:rFonts w:ascii="Helvetica" w:eastAsia="Times New Roman" w:hAnsi="Helvetica" w:cs="Helvetica"/>
          <w:color w:val="333333"/>
        </w:rPr>
        <w:t>training requirements</w:t>
      </w:r>
      <w:r w:rsidR="007B1E60" w:rsidRPr="007543BF">
        <w:rPr>
          <w:rFonts w:ascii="Helvetica" w:eastAsia="Times New Roman" w:hAnsi="Helvetica" w:cs="Helvetica"/>
          <w:color w:val="333333"/>
        </w:rPr>
        <w:t xml:space="preserve"> for NIH career development and training awards.</w:t>
      </w:r>
      <w:r w:rsidR="0081732B" w:rsidRPr="007543BF">
        <w:rPr>
          <w:rFonts w:ascii="Helvetica" w:eastAsia="Times New Roman" w:hAnsi="Helvetica" w:cs="Helvetica"/>
          <w:color w:val="333333"/>
        </w:rPr>
        <w:t xml:space="preserve"> The format consists of a combination of didactic</w:t>
      </w:r>
      <w:r w:rsidR="00B16943" w:rsidRPr="007543BF">
        <w:rPr>
          <w:rFonts w:ascii="Helvetica" w:eastAsia="Times New Roman" w:hAnsi="Helvetica" w:cs="Helvetica"/>
          <w:color w:val="333333"/>
        </w:rPr>
        <w:t xml:space="preserve"> method augmented by discussion of reading assignments, and </w:t>
      </w:r>
      <w:r w:rsidR="0081732B" w:rsidRPr="007543BF">
        <w:rPr>
          <w:rFonts w:ascii="Helvetica" w:eastAsia="Times New Roman" w:hAnsi="Helvetica" w:cs="Helvetica"/>
          <w:color w:val="333333"/>
        </w:rPr>
        <w:t>case study review and discussion</w:t>
      </w:r>
      <w:r w:rsidR="00B16943" w:rsidRPr="007543BF">
        <w:rPr>
          <w:rFonts w:ascii="Helvetica" w:eastAsia="Times New Roman" w:hAnsi="Helvetica" w:cs="Helvetica"/>
          <w:color w:val="333333"/>
        </w:rPr>
        <w:t>.</w:t>
      </w:r>
      <w:r w:rsidR="0081732B" w:rsidRPr="007543BF">
        <w:rPr>
          <w:rFonts w:ascii="Helvetica" w:eastAsia="Times New Roman" w:hAnsi="Helvetica" w:cs="Helvetica"/>
          <w:color w:val="333333"/>
        </w:rPr>
        <w:t xml:space="preserve"> </w:t>
      </w:r>
    </w:p>
    <w:p w:rsidR="004608AD" w:rsidRDefault="004608AD" w:rsidP="004608AD">
      <w:pPr>
        <w:spacing w:after="0" w:line="240" w:lineRule="auto"/>
        <w:ind w:left="-540" w:right="-540"/>
        <w:rPr>
          <w:rFonts w:ascii="Helvetica" w:eastAsia="Times New Roman" w:hAnsi="Helvetica" w:cs="Helvetica"/>
          <w:b/>
          <w:bCs/>
          <w:color w:val="333333"/>
        </w:rPr>
      </w:pPr>
    </w:p>
    <w:p w:rsidR="00B16943" w:rsidRPr="004608AD" w:rsidRDefault="00DE71EB" w:rsidP="004608AD">
      <w:pPr>
        <w:spacing w:after="0" w:line="240" w:lineRule="auto"/>
        <w:ind w:left="-540" w:right="-540"/>
        <w:rPr>
          <w:rFonts w:ascii="Helvetica" w:eastAsia="Times New Roman" w:hAnsi="Helvetica" w:cs="Helvetica"/>
          <w:b/>
          <w:bCs/>
          <w:color w:val="333333"/>
        </w:rPr>
      </w:pPr>
      <w:r>
        <w:rPr>
          <w:rFonts w:ascii="Helvetica" w:eastAsia="Times New Roman" w:hAnsi="Helvetica" w:cs="Helvetica"/>
          <w:b/>
          <w:bCs/>
          <w:color w:val="333333"/>
        </w:rPr>
        <w:t xml:space="preserve">RCR </w:t>
      </w:r>
      <w:r w:rsidR="00B16943" w:rsidRPr="007543BF">
        <w:rPr>
          <w:rFonts w:ascii="Helvetica" w:eastAsia="Times New Roman" w:hAnsi="Helvetica" w:cs="Helvetica"/>
          <w:b/>
          <w:bCs/>
          <w:color w:val="333333"/>
        </w:rPr>
        <w:t>Core Content Areas</w:t>
      </w:r>
      <w:r w:rsidR="004608AD">
        <w:rPr>
          <w:rFonts w:ascii="Helvetica" w:eastAsia="Times New Roman" w:hAnsi="Helvetica" w:cs="Helvetica"/>
          <w:color w:val="333333"/>
        </w:rPr>
        <w:t xml:space="preserve">. </w:t>
      </w:r>
      <w:r w:rsidR="00EF1038">
        <w:rPr>
          <w:rFonts w:ascii="Helvetica" w:eastAsia="Times New Roman" w:hAnsi="Helvetica" w:cs="Helvetica"/>
          <w:color w:val="333333"/>
        </w:rPr>
        <w:t>A</w:t>
      </w:r>
      <w:r w:rsidR="00B16943" w:rsidRPr="007543BF">
        <w:rPr>
          <w:rFonts w:ascii="Helvetica" w:eastAsia="Times New Roman" w:hAnsi="Helvetica" w:cs="Helvetica"/>
          <w:color w:val="333333"/>
        </w:rPr>
        <w:t xml:space="preserve">reas </w:t>
      </w:r>
      <w:r>
        <w:rPr>
          <w:rFonts w:ascii="Helvetica" w:eastAsia="Times New Roman" w:hAnsi="Helvetica" w:cs="Helvetica"/>
          <w:color w:val="333333"/>
        </w:rPr>
        <w:t xml:space="preserve">denoted by an asterisk </w:t>
      </w:r>
      <w:r w:rsidR="00B16943" w:rsidRPr="007543BF">
        <w:rPr>
          <w:rFonts w:ascii="Helvetica" w:eastAsia="Times New Roman" w:hAnsi="Helvetica" w:cs="Helvetica"/>
          <w:color w:val="333333"/>
        </w:rPr>
        <w:t>are required areas of training but m</w:t>
      </w:r>
      <w:r w:rsidR="00556033">
        <w:rPr>
          <w:rFonts w:ascii="Helvetica" w:eastAsia="Times New Roman" w:hAnsi="Helvetica" w:cs="Helvetica"/>
          <w:color w:val="333333"/>
        </w:rPr>
        <w:t>ust</w:t>
      </w:r>
      <w:r w:rsidR="00B16943" w:rsidRPr="007543BF">
        <w:rPr>
          <w:rFonts w:ascii="Helvetica" w:eastAsia="Times New Roman" w:hAnsi="Helvetica" w:cs="Helvetica"/>
          <w:color w:val="333333"/>
        </w:rPr>
        <w:t xml:space="preserve"> be augmented with </w:t>
      </w:r>
      <w:r w:rsidR="00556033">
        <w:rPr>
          <w:rFonts w:ascii="Helvetica" w:eastAsia="Times New Roman" w:hAnsi="Helvetica" w:cs="Helvetica"/>
          <w:color w:val="333333"/>
        </w:rPr>
        <w:t xml:space="preserve">at least one </w:t>
      </w:r>
      <w:r>
        <w:rPr>
          <w:rFonts w:ascii="Helvetica" w:eastAsia="Times New Roman" w:hAnsi="Helvetica" w:cs="Helvetica"/>
          <w:color w:val="333333"/>
        </w:rPr>
        <w:t xml:space="preserve">elective </w:t>
      </w:r>
      <w:r w:rsidR="00556033">
        <w:rPr>
          <w:rFonts w:ascii="Helvetica" w:eastAsia="Times New Roman" w:hAnsi="Helvetica" w:cs="Helvetica"/>
          <w:color w:val="333333"/>
        </w:rPr>
        <w:t>to achieve the</w:t>
      </w:r>
      <w:r w:rsidR="007C0A5A">
        <w:rPr>
          <w:rFonts w:ascii="Helvetica" w:eastAsia="Times New Roman" w:hAnsi="Helvetica" w:cs="Helvetica"/>
          <w:color w:val="333333"/>
        </w:rPr>
        <w:t xml:space="preserve"> minimum total of 8 hours of face-to-face training.</w:t>
      </w:r>
    </w:p>
    <w:p w:rsidR="00B16943" w:rsidRPr="007543BF" w:rsidRDefault="007543BF" w:rsidP="00556033">
      <w:pPr>
        <w:pStyle w:val="Default"/>
        <w:ind w:left="-540" w:right="-540"/>
        <w:rPr>
          <w:rFonts w:ascii="Helvetica" w:hAnsi="Helvetica" w:cs="Helvetica"/>
          <w:sz w:val="22"/>
          <w:szCs w:val="22"/>
        </w:rPr>
      </w:pPr>
      <w:r>
        <w:rPr>
          <w:rFonts w:ascii="Helvetica" w:hAnsi="Helvetica" w:cs="Helvetica"/>
          <w:bCs/>
          <w:sz w:val="22"/>
          <w:szCs w:val="22"/>
        </w:rPr>
        <w:t>*</w:t>
      </w:r>
      <w:r w:rsidR="00B16943" w:rsidRPr="007543BF">
        <w:rPr>
          <w:rFonts w:ascii="Helvetica" w:hAnsi="Helvetica" w:cs="Helvetica"/>
          <w:bCs/>
          <w:sz w:val="22"/>
          <w:szCs w:val="22"/>
        </w:rPr>
        <w:t xml:space="preserve">Research Misconduct </w:t>
      </w:r>
    </w:p>
    <w:p w:rsidR="00B16943" w:rsidRPr="007543BF" w:rsidRDefault="007543BF" w:rsidP="00556033">
      <w:pPr>
        <w:pStyle w:val="Default"/>
        <w:ind w:left="-540" w:right="-540"/>
        <w:rPr>
          <w:rFonts w:ascii="Helvetica" w:hAnsi="Helvetica" w:cs="Helvetica"/>
          <w:sz w:val="22"/>
          <w:szCs w:val="22"/>
        </w:rPr>
      </w:pPr>
      <w:r>
        <w:rPr>
          <w:rFonts w:ascii="Helvetica" w:hAnsi="Helvetica" w:cs="Helvetica"/>
          <w:bCs/>
          <w:sz w:val="22"/>
          <w:szCs w:val="22"/>
        </w:rPr>
        <w:t>*</w:t>
      </w:r>
      <w:r w:rsidR="00B16943" w:rsidRPr="007543BF">
        <w:rPr>
          <w:rFonts w:ascii="Helvetica" w:hAnsi="Helvetica" w:cs="Helvetica"/>
          <w:bCs/>
          <w:sz w:val="22"/>
          <w:szCs w:val="22"/>
        </w:rPr>
        <w:t xml:space="preserve">Data Acquisition, Management, Sharing and Ownership </w:t>
      </w:r>
    </w:p>
    <w:p w:rsidR="00B16943" w:rsidRPr="007543BF" w:rsidRDefault="007543BF" w:rsidP="00556033">
      <w:pPr>
        <w:pStyle w:val="Default"/>
        <w:ind w:left="-540" w:right="-540"/>
        <w:rPr>
          <w:rFonts w:ascii="Helvetica" w:hAnsi="Helvetica" w:cs="Helvetica"/>
          <w:sz w:val="22"/>
          <w:szCs w:val="22"/>
        </w:rPr>
      </w:pPr>
      <w:r>
        <w:rPr>
          <w:rFonts w:ascii="Helvetica" w:hAnsi="Helvetica" w:cs="Helvetica"/>
          <w:bCs/>
          <w:sz w:val="22"/>
          <w:szCs w:val="22"/>
        </w:rPr>
        <w:t>*</w:t>
      </w:r>
      <w:r w:rsidR="00B16943" w:rsidRPr="007543BF">
        <w:rPr>
          <w:rFonts w:ascii="Helvetica" w:hAnsi="Helvetica" w:cs="Helvetica"/>
          <w:bCs/>
          <w:sz w:val="22"/>
          <w:szCs w:val="22"/>
        </w:rPr>
        <w:t xml:space="preserve">Publication Practices and Responsible Authorship </w:t>
      </w:r>
    </w:p>
    <w:p w:rsidR="00B16943" w:rsidRPr="007543BF" w:rsidRDefault="007543BF" w:rsidP="00556033">
      <w:pPr>
        <w:pStyle w:val="Default"/>
        <w:ind w:left="-540" w:right="-540"/>
        <w:rPr>
          <w:rFonts w:ascii="Helvetica" w:hAnsi="Helvetica" w:cs="Helvetica"/>
          <w:sz w:val="22"/>
          <w:szCs w:val="22"/>
        </w:rPr>
      </w:pPr>
      <w:r>
        <w:rPr>
          <w:rFonts w:ascii="Helvetica" w:hAnsi="Helvetica" w:cs="Helvetica"/>
          <w:bCs/>
          <w:sz w:val="22"/>
          <w:szCs w:val="22"/>
        </w:rPr>
        <w:t>*</w:t>
      </w:r>
      <w:r w:rsidR="00B16943" w:rsidRPr="007543BF">
        <w:rPr>
          <w:rFonts w:ascii="Helvetica" w:hAnsi="Helvetica" w:cs="Helvetica"/>
          <w:bCs/>
          <w:sz w:val="22"/>
          <w:szCs w:val="22"/>
        </w:rPr>
        <w:t>Mentor/</w:t>
      </w:r>
      <w:r>
        <w:rPr>
          <w:rFonts w:ascii="Helvetica" w:hAnsi="Helvetica" w:cs="Helvetica"/>
          <w:bCs/>
          <w:sz w:val="22"/>
          <w:szCs w:val="22"/>
        </w:rPr>
        <w:t>Ment</w:t>
      </w:r>
      <w:r w:rsidR="00B16943" w:rsidRPr="007543BF">
        <w:rPr>
          <w:rFonts w:ascii="Helvetica" w:hAnsi="Helvetica" w:cs="Helvetica"/>
          <w:bCs/>
          <w:sz w:val="22"/>
          <w:szCs w:val="22"/>
        </w:rPr>
        <w:t>ee Re</w:t>
      </w:r>
      <w:r>
        <w:rPr>
          <w:rFonts w:ascii="Helvetica" w:hAnsi="Helvetica" w:cs="Helvetica"/>
          <w:bCs/>
          <w:sz w:val="22"/>
          <w:szCs w:val="22"/>
        </w:rPr>
        <w:t>lationships</w:t>
      </w:r>
    </w:p>
    <w:p w:rsidR="00B16943" w:rsidRPr="007543BF" w:rsidRDefault="007543BF" w:rsidP="00556033">
      <w:pPr>
        <w:pStyle w:val="Default"/>
        <w:ind w:left="-540" w:right="-540"/>
        <w:rPr>
          <w:rFonts w:ascii="Helvetica" w:hAnsi="Helvetica" w:cs="Helvetica"/>
          <w:sz w:val="22"/>
          <w:szCs w:val="22"/>
        </w:rPr>
      </w:pPr>
      <w:r>
        <w:rPr>
          <w:rFonts w:ascii="Helvetica" w:hAnsi="Helvetica" w:cs="Helvetica"/>
          <w:bCs/>
          <w:sz w:val="22"/>
          <w:szCs w:val="22"/>
        </w:rPr>
        <w:t>*</w:t>
      </w:r>
      <w:r w:rsidR="00B16943" w:rsidRPr="007543BF">
        <w:rPr>
          <w:rFonts w:ascii="Helvetica" w:hAnsi="Helvetica" w:cs="Helvetica"/>
          <w:bCs/>
          <w:sz w:val="22"/>
          <w:szCs w:val="22"/>
        </w:rPr>
        <w:t xml:space="preserve">Peer Review </w:t>
      </w:r>
    </w:p>
    <w:p w:rsidR="00B16943" w:rsidRPr="007543BF" w:rsidRDefault="007543BF" w:rsidP="00556033">
      <w:pPr>
        <w:spacing w:after="0" w:line="240" w:lineRule="auto"/>
        <w:ind w:left="-540" w:right="-540"/>
        <w:rPr>
          <w:rFonts w:ascii="Helvetica" w:hAnsi="Helvetica" w:cs="Helvetica"/>
          <w:bCs/>
        </w:rPr>
      </w:pPr>
      <w:r>
        <w:rPr>
          <w:rFonts w:ascii="Helvetica" w:hAnsi="Helvetica" w:cs="Helvetica"/>
          <w:bCs/>
        </w:rPr>
        <w:t>*</w:t>
      </w:r>
      <w:r w:rsidR="00B16943" w:rsidRPr="007543BF">
        <w:rPr>
          <w:rFonts w:ascii="Helvetica" w:hAnsi="Helvetica" w:cs="Helvetica"/>
          <w:bCs/>
        </w:rPr>
        <w:t>Collaborative Science</w:t>
      </w:r>
    </w:p>
    <w:p w:rsidR="00B16943" w:rsidRDefault="007543BF" w:rsidP="00556033">
      <w:pPr>
        <w:spacing w:after="0" w:line="240" w:lineRule="auto"/>
        <w:ind w:left="-540" w:right="-540"/>
        <w:rPr>
          <w:rFonts w:ascii="Helvetica" w:eastAsia="Times New Roman" w:hAnsi="Helvetica" w:cs="Helvetica"/>
          <w:color w:val="333333"/>
        </w:rPr>
      </w:pPr>
      <w:r>
        <w:rPr>
          <w:rFonts w:ascii="Helvetica" w:eastAsia="Times New Roman" w:hAnsi="Helvetica" w:cs="Helvetica"/>
          <w:color w:val="333333"/>
        </w:rPr>
        <w:t>*</w:t>
      </w:r>
      <w:r w:rsidR="00B16943" w:rsidRPr="007543BF">
        <w:rPr>
          <w:rFonts w:ascii="Helvetica" w:eastAsia="Times New Roman" w:hAnsi="Helvetica" w:cs="Helvetica"/>
          <w:color w:val="333333"/>
        </w:rPr>
        <w:t>Risk Mitigation in Research Facilities</w:t>
      </w:r>
    </w:p>
    <w:p w:rsidR="00DE71EB" w:rsidRDefault="00DE71EB" w:rsidP="00556033">
      <w:pPr>
        <w:spacing w:after="0" w:line="240" w:lineRule="auto"/>
        <w:ind w:left="-540" w:right="-540"/>
        <w:rPr>
          <w:rFonts w:ascii="Helvetica" w:eastAsia="Times New Roman" w:hAnsi="Helvetica" w:cs="Helvetica"/>
          <w:color w:val="333333"/>
        </w:rPr>
      </w:pPr>
    </w:p>
    <w:p w:rsidR="00DE71EB" w:rsidRPr="004608AD" w:rsidRDefault="00DE71EB" w:rsidP="004608AD">
      <w:pPr>
        <w:spacing w:after="0" w:line="240" w:lineRule="auto"/>
        <w:ind w:left="-540" w:right="-540"/>
        <w:rPr>
          <w:rFonts w:ascii="Helvetica" w:eastAsia="Times New Roman" w:hAnsi="Helvetica" w:cs="Helvetica"/>
          <w:b/>
          <w:color w:val="333333"/>
        </w:rPr>
      </w:pPr>
      <w:r>
        <w:rPr>
          <w:rFonts w:ascii="Helvetica" w:eastAsia="Times New Roman" w:hAnsi="Helvetica" w:cs="Helvetica"/>
          <w:b/>
          <w:color w:val="333333"/>
        </w:rPr>
        <w:t xml:space="preserve">RCR </w:t>
      </w:r>
      <w:r w:rsidRPr="00DE71EB">
        <w:rPr>
          <w:rFonts w:ascii="Helvetica" w:eastAsia="Times New Roman" w:hAnsi="Helvetica" w:cs="Helvetica"/>
          <w:b/>
          <w:color w:val="333333"/>
        </w:rPr>
        <w:t>Electives</w:t>
      </w:r>
      <w:r w:rsidR="004608AD">
        <w:rPr>
          <w:rFonts w:ascii="Helvetica" w:eastAsia="Times New Roman" w:hAnsi="Helvetica" w:cs="Helvetica"/>
          <w:b/>
          <w:color w:val="333333"/>
        </w:rPr>
        <w:t xml:space="preserve">. </w:t>
      </w:r>
      <w:r w:rsidR="00EF1038">
        <w:rPr>
          <w:rFonts w:ascii="Helvetica" w:hAnsi="Helvetica" w:cs="Helvetica"/>
          <w:bCs/>
        </w:rPr>
        <w:t xml:space="preserve">The following electives are offered: </w:t>
      </w:r>
      <w:r w:rsidR="007543BF" w:rsidRPr="007543BF">
        <w:rPr>
          <w:rFonts w:ascii="Helvetica" w:hAnsi="Helvetica" w:cs="Helvetica"/>
          <w:bCs/>
        </w:rPr>
        <w:t>Conflict</w:t>
      </w:r>
      <w:r w:rsidR="007543BF">
        <w:rPr>
          <w:rFonts w:ascii="Helvetica" w:hAnsi="Helvetica" w:cs="Helvetica"/>
          <w:bCs/>
        </w:rPr>
        <w:t>s</w:t>
      </w:r>
      <w:r w:rsidR="007543BF" w:rsidRPr="007543BF">
        <w:rPr>
          <w:rFonts w:ascii="Helvetica" w:hAnsi="Helvetica" w:cs="Helvetica"/>
          <w:bCs/>
        </w:rPr>
        <w:t xml:space="preserve"> of Interest</w:t>
      </w:r>
      <w:r w:rsidR="00EF1038">
        <w:rPr>
          <w:rFonts w:ascii="Helvetica" w:hAnsi="Helvetica" w:cs="Helvetica"/>
          <w:bCs/>
        </w:rPr>
        <w:t>,</w:t>
      </w:r>
      <w:r w:rsidR="007543BF" w:rsidRPr="007543BF">
        <w:rPr>
          <w:rFonts w:ascii="Helvetica" w:hAnsi="Helvetica" w:cs="Helvetica"/>
          <w:bCs/>
        </w:rPr>
        <w:t xml:space="preserve"> </w:t>
      </w:r>
      <w:r w:rsidR="007543BF">
        <w:rPr>
          <w:rFonts w:ascii="Helvetica" w:hAnsi="Helvetica" w:cs="Helvetica"/>
          <w:bCs/>
        </w:rPr>
        <w:t xml:space="preserve">Research Involving </w:t>
      </w:r>
      <w:r w:rsidR="007543BF" w:rsidRPr="007543BF">
        <w:rPr>
          <w:rFonts w:ascii="Helvetica" w:hAnsi="Helvetica" w:cs="Helvetica"/>
          <w:bCs/>
        </w:rPr>
        <w:t xml:space="preserve">Human Subjects </w:t>
      </w:r>
      <w:r w:rsidR="007543BF">
        <w:rPr>
          <w:rFonts w:ascii="Helvetica" w:hAnsi="Helvetica" w:cs="Helvetica"/>
          <w:bCs/>
        </w:rPr>
        <w:t>and Materials</w:t>
      </w:r>
      <w:r w:rsidR="00EF1038">
        <w:rPr>
          <w:rFonts w:ascii="Helvetica" w:hAnsi="Helvetica" w:cs="Helvetica"/>
          <w:bCs/>
        </w:rPr>
        <w:t>,</w:t>
      </w:r>
      <w:r w:rsidR="00EF1038">
        <w:rPr>
          <w:rFonts w:ascii="Helvetica" w:hAnsi="Helvetica" w:cs="Helvetica"/>
        </w:rPr>
        <w:t xml:space="preserve"> </w:t>
      </w:r>
      <w:r w:rsidR="007543BF">
        <w:rPr>
          <w:rFonts w:ascii="Helvetica" w:hAnsi="Helvetica" w:cs="Helvetica"/>
          <w:bCs/>
        </w:rPr>
        <w:t>Research Involving Vertebrate Animals</w:t>
      </w:r>
      <w:r w:rsidR="00EF1038">
        <w:rPr>
          <w:rFonts w:ascii="Helvetica" w:hAnsi="Helvetica" w:cs="Helvetica"/>
          <w:bCs/>
        </w:rPr>
        <w:t>,</w:t>
      </w:r>
      <w:r w:rsidR="007543BF" w:rsidRPr="007543BF">
        <w:rPr>
          <w:rFonts w:ascii="Helvetica" w:hAnsi="Helvetica" w:cs="Helvetica"/>
          <w:bCs/>
        </w:rPr>
        <w:t xml:space="preserve"> </w:t>
      </w:r>
      <w:r w:rsidR="007543BF">
        <w:rPr>
          <w:rFonts w:ascii="Helvetica" w:hAnsi="Helvetica" w:cs="Helvetica"/>
        </w:rPr>
        <w:t>Difficult Conversations</w:t>
      </w:r>
      <w:r w:rsidR="00EF1038">
        <w:rPr>
          <w:rFonts w:ascii="Helvetica" w:hAnsi="Helvetica" w:cs="Helvetica"/>
        </w:rPr>
        <w:t xml:space="preserve">, </w:t>
      </w:r>
      <w:r w:rsidR="007543BF">
        <w:rPr>
          <w:rFonts w:ascii="Helvetica" w:hAnsi="Helvetica" w:cs="Helvetica"/>
        </w:rPr>
        <w:t>Intellectual Property and Commercialization</w:t>
      </w:r>
      <w:r w:rsidR="00EF1038">
        <w:rPr>
          <w:rFonts w:ascii="Helvetica" w:hAnsi="Helvetica" w:cs="Helvetica"/>
        </w:rPr>
        <w:t xml:space="preserve">, </w:t>
      </w:r>
      <w:r w:rsidR="007543BF">
        <w:rPr>
          <w:rFonts w:ascii="Helvetica" w:hAnsi="Helvetica" w:cs="Helvetica"/>
        </w:rPr>
        <w:t>Export Controls and Customs</w:t>
      </w:r>
      <w:r w:rsidR="004608AD">
        <w:rPr>
          <w:rFonts w:ascii="Helvetica" w:hAnsi="Helvetica" w:cs="Helvetica"/>
        </w:rPr>
        <w:t>.</w:t>
      </w:r>
    </w:p>
    <w:p w:rsidR="004608AD" w:rsidRDefault="004608AD" w:rsidP="00556033">
      <w:pPr>
        <w:pStyle w:val="Default"/>
        <w:ind w:left="-540" w:right="-540"/>
        <w:rPr>
          <w:rFonts w:ascii="Helvetica" w:hAnsi="Helvetica" w:cs="Helvetica"/>
          <w:sz w:val="22"/>
          <w:szCs w:val="22"/>
        </w:rPr>
      </w:pPr>
    </w:p>
    <w:p w:rsidR="00A550D9" w:rsidRPr="004608AD" w:rsidRDefault="00401A9E" w:rsidP="004608AD">
      <w:pPr>
        <w:spacing w:after="150" w:line="240" w:lineRule="auto"/>
        <w:ind w:left="-540" w:right="-540"/>
        <w:rPr>
          <w:rFonts w:ascii="Helvetica" w:eastAsia="Times New Roman" w:hAnsi="Helvetica" w:cs="Helvetica"/>
          <w:color w:val="333333"/>
        </w:rPr>
      </w:pPr>
      <w:r w:rsidRPr="00B1522C">
        <w:rPr>
          <w:rFonts w:ascii="Helvetica" w:eastAsia="Times New Roman" w:hAnsi="Helvetica" w:cs="Helvetica"/>
          <w:b/>
        </w:rPr>
        <w:t>HUMS/NURS 7</w:t>
      </w:r>
      <w:r w:rsidR="00B335E8">
        <w:rPr>
          <w:rFonts w:ascii="Helvetica" w:eastAsia="Times New Roman" w:hAnsi="Helvetica" w:cs="Helvetica"/>
          <w:b/>
        </w:rPr>
        <w:t>004</w:t>
      </w:r>
      <w:r w:rsidRPr="007543BF">
        <w:rPr>
          <w:rFonts w:ascii="Helvetica" w:eastAsia="Times New Roman" w:hAnsi="Helvetica" w:cs="Helvetica"/>
        </w:rPr>
        <w:t xml:space="preserve"> is a graduate level </w:t>
      </w:r>
      <w:r w:rsidR="0081732B" w:rsidRPr="007543BF">
        <w:rPr>
          <w:rFonts w:ascii="Helvetica" w:eastAsia="Times New Roman" w:hAnsi="Helvetica" w:cs="Helvetica"/>
        </w:rPr>
        <w:t xml:space="preserve">semester-long </w:t>
      </w:r>
      <w:r w:rsidRPr="007543BF">
        <w:rPr>
          <w:rFonts w:ascii="Helvetica" w:eastAsia="Times New Roman" w:hAnsi="Helvetica" w:cs="Helvetica"/>
        </w:rPr>
        <w:t xml:space="preserve">research ethics course open to master’s degree students but required of doctoral students if not completed at the master’s degree level.  </w:t>
      </w:r>
      <w:r w:rsidR="0081732B" w:rsidRPr="007543BF">
        <w:rPr>
          <w:rFonts w:ascii="Helvetica" w:eastAsia="Times New Roman" w:hAnsi="Helvetica" w:cs="Helvetica"/>
        </w:rPr>
        <w:t xml:space="preserve">The course is </w:t>
      </w:r>
      <w:r w:rsidR="00B1522C">
        <w:rPr>
          <w:rFonts w:ascii="Helvetica" w:eastAsia="Times New Roman" w:hAnsi="Helvetica" w:cs="Helvetica"/>
        </w:rPr>
        <w:t xml:space="preserve">offered by </w:t>
      </w:r>
      <w:r w:rsidR="0081732B" w:rsidRPr="007543BF">
        <w:rPr>
          <w:rFonts w:ascii="Helvetica" w:eastAsia="Times New Roman" w:hAnsi="Helvetica" w:cs="Helvetica"/>
        </w:rPr>
        <w:t xml:space="preserve">the Brody School of Medicine Bioethics Department and consists of </w:t>
      </w:r>
      <w:r w:rsidR="0081732B" w:rsidRPr="007543BF">
        <w:rPr>
          <w:rFonts w:ascii="Helvetica" w:hAnsi="Helvetica" w:cs="Helvetica"/>
        </w:rPr>
        <w:t>c</w:t>
      </w:r>
      <w:r w:rsidRPr="007543BF">
        <w:rPr>
          <w:rFonts w:ascii="Helvetica" w:hAnsi="Helvetica" w:cs="Helvetica"/>
        </w:rPr>
        <w:t xml:space="preserve">ase studies, readings, policy review, assignments, and discussions with guest faculty </w:t>
      </w:r>
      <w:r w:rsidR="0081732B" w:rsidRPr="007543BF">
        <w:rPr>
          <w:rFonts w:ascii="Helvetica" w:hAnsi="Helvetica" w:cs="Helvetica"/>
        </w:rPr>
        <w:t xml:space="preserve">to </w:t>
      </w:r>
      <w:r w:rsidRPr="007543BF">
        <w:rPr>
          <w:rFonts w:ascii="Helvetica" w:hAnsi="Helvetica" w:cs="Helvetica"/>
        </w:rPr>
        <w:t>examine areas of ethical concern for researchers. Areas include scientific misconduct, conflict of interest, abusive mentoring, improper authorship practices, and protection of human participants, animal subjects of research, and others.</w:t>
      </w:r>
    </w:p>
    <w:p w:rsidR="00140EF0" w:rsidRDefault="00140EF0" w:rsidP="00556033">
      <w:pPr>
        <w:spacing w:after="150" w:line="240" w:lineRule="auto"/>
        <w:ind w:left="-540" w:right="-540"/>
        <w:rPr>
          <w:rFonts w:ascii="Helvetica" w:eastAsia="Times New Roman" w:hAnsi="Helvetica" w:cs="Helvetica"/>
          <w:color w:val="333333"/>
        </w:rPr>
      </w:pPr>
      <w:r>
        <w:rPr>
          <w:rFonts w:ascii="Helvetica" w:eastAsia="Times New Roman" w:hAnsi="Helvetica" w:cs="Helvetica"/>
          <w:color w:val="333333"/>
        </w:rPr>
        <w:t xml:space="preserve">Brody School of Medicine </w:t>
      </w:r>
      <w:r w:rsidR="00B1522C">
        <w:rPr>
          <w:rFonts w:ascii="Helvetica" w:eastAsia="Times New Roman" w:hAnsi="Helvetica" w:cs="Helvetica"/>
          <w:color w:val="333333"/>
        </w:rPr>
        <w:t xml:space="preserve">also offers a series of seminars - </w:t>
      </w:r>
      <w:r w:rsidRPr="00B1522C">
        <w:rPr>
          <w:rFonts w:ascii="Helvetica" w:eastAsia="Times New Roman" w:hAnsi="Helvetica" w:cs="Helvetica"/>
          <w:b/>
          <w:color w:val="333333"/>
        </w:rPr>
        <w:t>Research Resources 101</w:t>
      </w:r>
      <w:r w:rsidR="00B1522C">
        <w:rPr>
          <w:rFonts w:ascii="Helvetica" w:eastAsia="Times New Roman" w:hAnsi="Helvetica" w:cs="Helvetica"/>
          <w:color w:val="333333"/>
        </w:rPr>
        <w:t>- that</w:t>
      </w:r>
      <w:r>
        <w:rPr>
          <w:rFonts w:ascii="Helvetica" w:eastAsia="Times New Roman" w:hAnsi="Helvetica" w:cs="Helvetica"/>
          <w:color w:val="333333"/>
        </w:rPr>
        <w:t xml:space="preserve"> introduces faculty members to various resources, programs, tips and tools to help advance their research. This is a monthly event that introduces new and seasoned researchers to resources and facilities in the Brody School of Medicine.  Many topics covered touch on core areas of RCR.</w:t>
      </w:r>
    </w:p>
    <w:p w:rsidR="004608AD" w:rsidRDefault="006A7934" w:rsidP="005B780B">
      <w:pPr>
        <w:spacing w:after="0" w:line="240" w:lineRule="auto"/>
        <w:ind w:left="-540" w:right="-540"/>
        <w:rPr>
          <w:rFonts w:ascii="Helvetica" w:eastAsia="Times New Roman" w:hAnsi="Helvetica" w:cs="Helvetica"/>
          <w:color w:val="333333"/>
        </w:rPr>
      </w:pPr>
      <w:r w:rsidRPr="007543BF">
        <w:rPr>
          <w:rFonts w:ascii="Helvetica" w:eastAsia="Times New Roman" w:hAnsi="Helvetica" w:cs="Helvetica"/>
          <w:b/>
          <w:bCs/>
          <w:color w:val="333333"/>
        </w:rPr>
        <w:t>Faculty Participation</w:t>
      </w:r>
      <w:r w:rsidR="004608AD">
        <w:rPr>
          <w:rFonts w:ascii="Helvetica" w:eastAsia="Times New Roman" w:hAnsi="Helvetica" w:cs="Helvetica"/>
          <w:b/>
          <w:bCs/>
          <w:color w:val="333333"/>
        </w:rPr>
        <w:t xml:space="preserve">. </w:t>
      </w:r>
      <w:r w:rsidRPr="006A7934">
        <w:rPr>
          <w:rFonts w:ascii="Helvetica" w:eastAsia="Times New Roman" w:hAnsi="Helvetica" w:cs="Helvetica"/>
          <w:color w:val="333333"/>
        </w:rPr>
        <w:t xml:space="preserve">Faculty </w:t>
      </w:r>
      <w:r w:rsidR="0081732B" w:rsidRPr="007543BF">
        <w:rPr>
          <w:rFonts w:ascii="Helvetica" w:eastAsia="Times New Roman" w:hAnsi="Helvetica" w:cs="Helvetica"/>
          <w:color w:val="333333"/>
        </w:rPr>
        <w:t xml:space="preserve">members </w:t>
      </w:r>
      <w:r w:rsidRPr="006A7934">
        <w:rPr>
          <w:rFonts w:ascii="Helvetica" w:eastAsia="Times New Roman" w:hAnsi="Helvetica" w:cs="Helvetica"/>
          <w:color w:val="333333"/>
        </w:rPr>
        <w:t xml:space="preserve">teach </w:t>
      </w:r>
      <w:r w:rsidR="00140EF0">
        <w:rPr>
          <w:rFonts w:ascii="Helvetica" w:eastAsia="Times New Roman" w:hAnsi="Helvetica" w:cs="Helvetica"/>
          <w:color w:val="333333"/>
        </w:rPr>
        <w:t xml:space="preserve">RCR </w:t>
      </w:r>
      <w:r w:rsidR="0081732B" w:rsidRPr="007543BF">
        <w:rPr>
          <w:rFonts w:ascii="Helvetica" w:eastAsia="Times New Roman" w:hAnsi="Helvetica" w:cs="Helvetica"/>
          <w:color w:val="333333"/>
        </w:rPr>
        <w:t>course content and lead</w:t>
      </w:r>
      <w:r w:rsidRPr="006A7934">
        <w:rPr>
          <w:rFonts w:ascii="Helvetica" w:eastAsia="Times New Roman" w:hAnsi="Helvetica" w:cs="Helvetica"/>
          <w:color w:val="333333"/>
        </w:rPr>
        <w:t xml:space="preserve"> the live discussions.</w:t>
      </w:r>
      <w:r w:rsidR="004608AD">
        <w:rPr>
          <w:rFonts w:ascii="Helvetica" w:eastAsia="Times New Roman" w:hAnsi="Helvetica" w:cs="Helvetica"/>
          <w:color w:val="333333"/>
        </w:rPr>
        <w:t xml:space="preserve"> </w:t>
      </w:r>
      <w:r w:rsidRPr="006A7934">
        <w:rPr>
          <w:rFonts w:ascii="Helvetica" w:eastAsia="Times New Roman" w:hAnsi="Helvetica" w:cs="Helvetica"/>
          <w:color w:val="333333"/>
        </w:rPr>
        <w:t>Faculty PIs are encouraged to meet specific needs within their research group by conducting in-house exploration of the intricacies of a topic through discussions, personal research projects, and other avenues of mentoring.</w:t>
      </w:r>
    </w:p>
    <w:p w:rsidR="005B780B" w:rsidRPr="005B780B" w:rsidRDefault="005B780B" w:rsidP="005B780B">
      <w:pPr>
        <w:spacing w:after="0" w:line="240" w:lineRule="auto"/>
        <w:ind w:left="-540" w:right="-540"/>
        <w:rPr>
          <w:rFonts w:ascii="Helvetica" w:eastAsia="Times New Roman" w:hAnsi="Helvetica" w:cs="Helvetica"/>
          <w:color w:val="333333"/>
        </w:rPr>
      </w:pPr>
    </w:p>
    <w:p w:rsidR="006A7934" w:rsidRPr="006A7934" w:rsidRDefault="006A7934" w:rsidP="004608AD">
      <w:pPr>
        <w:spacing w:after="0" w:line="240" w:lineRule="auto"/>
        <w:ind w:left="-540" w:right="-540"/>
        <w:rPr>
          <w:rFonts w:ascii="Helvetica" w:eastAsia="Times New Roman" w:hAnsi="Helvetica" w:cs="Helvetica"/>
          <w:color w:val="333333"/>
        </w:rPr>
      </w:pPr>
      <w:r w:rsidRPr="007543BF">
        <w:rPr>
          <w:rFonts w:ascii="Helvetica" w:eastAsia="Times New Roman" w:hAnsi="Helvetica" w:cs="Helvetica"/>
          <w:b/>
          <w:bCs/>
          <w:color w:val="333333"/>
        </w:rPr>
        <w:t>Duration and Frequency of Instruction</w:t>
      </w:r>
    </w:p>
    <w:p w:rsidR="00FD72B7" w:rsidRDefault="00FD72B7" w:rsidP="00556033">
      <w:pPr>
        <w:spacing w:after="150" w:line="240" w:lineRule="auto"/>
        <w:ind w:left="-540" w:right="-540"/>
        <w:rPr>
          <w:rFonts w:ascii="Helvetica" w:eastAsia="Times New Roman" w:hAnsi="Helvetica" w:cs="Helvetica"/>
          <w:color w:val="333333"/>
        </w:rPr>
      </w:pPr>
      <w:r w:rsidRPr="007543BF">
        <w:rPr>
          <w:rFonts w:ascii="Helvetica" w:eastAsia="Times New Roman" w:hAnsi="Helvetica" w:cs="Helvetica"/>
          <w:color w:val="333333"/>
        </w:rPr>
        <w:t xml:space="preserve">Postdoc </w:t>
      </w:r>
      <w:r w:rsidR="006A7934" w:rsidRPr="006A7934">
        <w:rPr>
          <w:rFonts w:ascii="Helvetica" w:eastAsia="Times New Roman" w:hAnsi="Helvetica" w:cs="Helvetica"/>
          <w:color w:val="333333"/>
        </w:rPr>
        <w:t>RCR</w:t>
      </w:r>
      <w:r w:rsidRPr="007543BF">
        <w:rPr>
          <w:rFonts w:ascii="Helvetica" w:eastAsia="Times New Roman" w:hAnsi="Helvetica" w:cs="Helvetica"/>
          <w:color w:val="333333"/>
        </w:rPr>
        <w:t xml:space="preserve"> </w:t>
      </w:r>
      <w:r w:rsidR="006A7934" w:rsidRPr="006A7934">
        <w:rPr>
          <w:rFonts w:ascii="Helvetica" w:eastAsia="Times New Roman" w:hAnsi="Helvetica" w:cs="Helvetica"/>
          <w:color w:val="333333"/>
        </w:rPr>
        <w:t>Series</w:t>
      </w:r>
      <w:r w:rsidRPr="007543BF">
        <w:rPr>
          <w:rFonts w:ascii="Helvetica" w:eastAsia="Times New Roman" w:hAnsi="Helvetica" w:cs="Helvetica"/>
          <w:color w:val="333333"/>
        </w:rPr>
        <w:t>: Weekly</w:t>
      </w:r>
      <w:r w:rsidR="006A7934" w:rsidRPr="006A7934">
        <w:rPr>
          <w:rFonts w:ascii="Helvetica" w:eastAsia="Times New Roman" w:hAnsi="Helvetica" w:cs="Helvetica"/>
          <w:color w:val="333333"/>
        </w:rPr>
        <w:t xml:space="preserve"> </w:t>
      </w:r>
      <w:r w:rsidRPr="007543BF">
        <w:rPr>
          <w:rFonts w:ascii="Helvetica" w:eastAsia="Times New Roman" w:hAnsi="Helvetica" w:cs="Helvetica"/>
          <w:color w:val="333333"/>
        </w:rPr>
        <w:t>series of one-hour sessions in</w:t>
      </w:r>
      <w:r w:rsidR="006A7934" w:rsidRPr="006A7934">
        <w:rPr>
          <w:rFonts w:ascii="Helvetica" w:eastAsia="Times New Roman" w:hAnsi="Helvetica" w:cs="Helvetica"/>
          <w:color w:val="333333"/>
        </w:rPr>
        <w:t xml:space="preserve"> </w:t>
      </w:r>
      <w:r w:rsidRPr="007543BF">
        <w:rPr>
          <w:rFonts w:ascii="Helvetica" w:eastAsia="Times New Roman" w:hAnsi="Helvetica" w:cs="Helvetica"/>
          <w:color w:val="333333"/>
        </w:rPr>
        <w:t>Octo</w:t>
      </w:r>
      <w:r w:rsidR="006A7934" w:rsidRPr="006A7934">
        <w:rPr>
          <w:rFonts w:ascii="Helvetica" w:eastAsia="Times New Roman" w:hAnsi="Helvetica" w:cs="Helvetica"/>
          <w:color w:val="333333"/>
        </w:rPr>
        <w:t>ber</w:t>
      </w:r>
      <w:r w:rsidRPr="007543BF">
        <w:rPr>
          <w:rFonts w:ascii="Helvetica" w:eastAsia="Times New Roman" w:hAnsi="Helvetica" w:cs="Helvetica"/>
          <w:color w:val="333333"/>
        </w:rPr>
        <w:t>/November and</w:t>
      </w:r>
      <w:r w:rsidR="006A7934" w:rsidRPr="006A7934">
        <w:rPr>
          <w:rFonts w:ascii="Helvetica" w:eastAsia="Times New Roman" w:hAnsi="Helvetica" w:cs="Helvetica"/>
          <w:color w:val="333333"/>
        </w:rPr>
        <w:t xml:space="preserve"> </w:t>
      </w:r>
      <w:r w:rsidRPr="007543BF">
        <w:rPr>
          <w:rFonts w:ascii="Helvetica" w:eastAsia="Times New Roman" w:hAnsi="Helvetica" w:cs="Helvetica"/>
          <w:color w:val="333333"/>
        </w:rPr>
        <w:t>February/March</w:t>
      </w:r>
      <w:r w:rsidR="006A7934" w:rsidRPr="006A7934">
        <w:rPr>
          <w:rFonts w:ascii="Helvetica" w:eastAsia="Times New Roman" w:hAnsi="Helvetica" w:cs="Helvetica"/>
          <w:color w:val="333333"/>
        </w:rPr>
        <w:t xml:space="preserve"> </w:t>
      </w:r>
      <w:r w:rsidRPr="007543BF">
        <w:rPr>
          <w:rFonts w:ascii="Helvetica" w:eastAsia="Times New Roman" w:hAnsi="Helvetica" w:cs="Helvetica"/>
          <w:color w:val="333333"/>
        </w:rPr>
        <w:t xml:space="preserve">for a total of </w:t>
      </w:r>
      <w:r w:rsidRPr="006A7934">
        <w:rPr>
          <w:rFonts w:ascii="Helvetica" w:eastAsia="Times New Roman" w:hAnsi="Helvetica" w:cs="Helvetica"/>
          <w:color w:val="333333"/>
        </w:rPr>
        <w:t>9 contact hours</w:t>
      </w:r>
      <w:r w:rsidRPr="007543BF">
        <w:rPr>
          <w:rFonts w:ascii="Helvetica" w:eastAsia="Times New Roman" w:hAnsi="Helvetica" w:cs="Helvetica"/>
          <w:color w:val="333333"/>
        </w:rPr>
        <w:t xml:space="preserve"> each.</w:t>
      </w:r>
      <w:r w:rsidRPr="006A7934">
        <w:rPr>
          <w:rFonts w:ascii="Helvetica" w:eastAsia="Times New Roman" w:hAnsi="Helvetica" w:cs="Helvetica"/>
          <w:color w:val="333333"/>
        </w:rPr>
        <w:t xml:space="preserve"> </w:t>
      </w:r>
    </w:p>
    <w:p w:rsidR="00B1522C" w:rsidRPr="007543BF" w:rsidRDefault="00B1522C" w:rsidP="00556033">
      <w:pPr>
        <w:spacing w:after="150" w:line="240" w:lineRule="auto"/>
        <w:ind w:left="-540" w:right="-540"/>
        <w:rPr>
          <w:rFonts w:ascii="Helvetica" w:eastAsia="Times New Roman" w:hAnsi="Helvetica" w:cs="Helvetica"/>
          <w:color w:val="333333"/>
        </w:rPr>
      </w:pPr>
      <w:r w:rsidRPr="007543BF">
        <w:rPr>
          <w:rFonts w:ascii="Helvetica" w:eastAsia="Times New Roman" w:hAnsi="Helvetica" w:cs="Helvetica"/>
          <w:color w:val="333333"/>
        </w:rPr>
        <w:t>GRAD HUMS/NURS 7</w:t>
      </w:r>
      <w:r w:rsidR="00BC64A9">
        <w:rPr>
          <w:rFonts w:ascii="Helvetica" w:eastAsia="Times New Roman" w:hAnsi="Helvetica" w:cs="Helvetica"/>
          <w:color w:val="333333"/>
        </w:rPr>
        <w:t>0</w:t>
      </w:r>
      <w:r w:rsidRPr="007543BF">
        <w:rPr>
          <w:rFonts w:ascii="Helvetica" w:eastAsia="Times New Roman" w:hAnsi="Helvetica" w:cs="Helvetica"/>
          <w:color w:val="333333"/>
        </w:rPr>
        <w:t>0</w:t>
      </w:r>
      <w:r w:rsidR="00BC64A9">
        <w:rPr>
          <w:rFonts w:ascii="Helvetica" w:eastAsia="Times New Roman" w:hAnsi="Helvetica" w:cs="Helvetica"/>
          <w:color w:val="333333"/>
        </w:rPr>
        <w:t>4</w:t>
      </w:r>
      <w:r w:rsidRPr="007543BF">
        <w:rPr>
          <w:rFonts w:ascii="Helvetica" w:eastAsia="Times New Roman" w:hAnsi="Helvetica" w:cs="Helvetica"/>
          <w:color w:val="333333"/>
        </w:rPr>
        <w:t xml:space="preserve"> </w:t>
      </w:r>
      <w:r w:rsidRPr="006A7934">
        <w:rPr>
          <w:rFonts w:ascii="Helvetica" w:eastAsia="Times New Roman" w:hAnsi="Helvetica" w:cs="Helvetica"/>
          <w:color w:val="333333"/>
        </w:rPr>
        <w:t>Course</w:t>
      </w:r>
      <w:r w:rsidRPr="007543BF">
        <w:rPr>
          <w:rFonts w:ascii="Helvetica" w:eastAsia="Times New Roman" w:hAnsi="Helvetica" w:cs="Helvetica"/>
          <w:color w:val="333333"/>
        </w:rPr>
        <w:t>:</w:t>
      </w:r>
      <w:r w:rsidRPr="006A7934">
        <w:rPr>
          <w:rFonts w:ascii="Helvetica" w:eastAsia="Times New Roman" w:hAnsi="Helvetica" w:cs="Helvetica"/>
          <w:color w:val="333333"/>
        </w:rPr>
        <w:t xml:space="preserve"> </w:t>
      </w:r>
      <w:r w:rsidRPr="007543BF">
        <w:rPr>
          <w:rFonts w:ascii="Helvetica" w:eastAsia="Times New Roman" w:hAnsi="Helvetica" w:cs="Helvetica"/>
          <w:color w:val="333333"/>
        </w:rPr>
        <w:t>Two</w:t>
      </w:r>
      <w:r w:rsidRPr="006A7934">
        <w:rPr>
          <w:rFonts w:ascii="Helvetica" w:eastAsia="Times New Roman" w:hAnsi="Helvetica" w:cs="Helvetica"/>
          <w:color w:val="333333"/>
        </w:rPr>
        <w:t xml:space="preserve"> </w:t>
      </w:r>
      <w:r w:rsidRPr="007543BF">
        <w:rPr>
          <w:rFonts w:ascii="Helvetica" w:eastAsia="Times New Roman" w:hAnsi="Helvetica" w:cs="Helvetica"/>
          <w:color w:val="333333"/>
        </w:rPr>
        <w:t xml:space="preserve">2-credit </w:t>
      </w:r>
      <w:r w:rsidRPr="006A7934">
        <w:rPr>
          <w:rFonts w:ascii="Helvetica" w:eastAsia="Times New Roman" w:hAnsi="Helvetica" w:cs="Helvetica"/>
          <w:color w:val="333333"/>
        </w:rPr>
        <w:t>semester</w:t>
      </w:r>
      <w:r w:rsidRPr="007543BF">
        <w:rPr>
          <w:rFonts w:ascii="Helvetica" w:eastAsia="Times New Roman" w:hAnsi="Helvetica" w:cs="Helvetica"/>
          <w:color w:val="333333"/>
        </w:rPr>
        <w:t xml:space="preserve"> courses</w:t>
      </w:r>
      <w:r w:rsidRPr="006A7934">
        <w:rPr>
          <w:rFonts w:ascii="Helvetica" w:eastAsia="Times New Roman" w:hAnsi="Helvetica" w:cs="Helvetica"/>
          <w:color w:val="333333"/>
        </w:rPr>
        <w:t xml:space="preserve"> of approximately </w:t>
      </w:r>
      <w:r w:rsidRPr="007543BF">
        <w:rPr>
          <w:rFonts w:ascii="Helvetica" w:eastAsia="Times New Roman" w:hAnsi="Helvetica" w:cs="Helvetica"/>
          <w:color w:val="333333"/>
        </w:rPr>
        <w:t>25</w:t>
      </w:r>
      <w:r w:rsidRPr="006A7934">
        <w:rPr>
          <w:rFonts w:ascii="Helvetica" w:eastAsia="Times New Roman" w:hAnsi="Helvetica" w:cs="Helvetica"/>
          <w:color w:val="333333"/>
        </w:rPr>
        <w:t xml:space="preserve"> contact hours, offered </w:t>
      </w:r>
      <w:r w:rsidRPr="007543BF">
        <w:rPr>
          <w:rFonts w:ascii="Helvetica" w:eastAsia="Times New Roman" w:hAnsi="Helvetica" w:cs="Helvetica"/>
          <w:color w:val="333333"/>
        </w:rPr>
        <w:t>twi</w:t>
      </w:r>
      <w:r w:rsidRPr="006A7934">
        <w:rPr>
          <w:rFonts w:ascii="Helvetica" w:eastAsia="Times New Roman" w:hAnsi="Helvetica" w:cs="Helvetica"/>
          <w:color w:val="333333"/>
        </w:rPr>
        <w:t>ce a year</w:t>
      </w:r>
    </w:p>
    <w:p w:rsidR="006A7934" w:rsidRPr="006A7934" w:rsidRDefault="006A7934" w:rsidP="00556033">
      <w:pPr>
        <w:spacing w:after="150" w:line="240" w:lineRule="auto"/>
        <w:ind w:left="-540" w:right="-540"/>
        <w:rPr>
          <w:rFonts w:ascii="Helvetica" w:eastAsia="Times New Roman" w:hAnsi="Helvetica" w:cs="Helvetica"/>
          <w:color w:val="333333"/>
        </w:rPr>
      </w:pPr>
      <w:r w:rsidRPr="006A7934">
        <w:rPr>
          <w:rFonts w:ascii="Helvetica" w:eastAsia="Times New Roman" w:hAnsi="Helvetica" w:cs="Helvetica"/>
          <w:color w:val="333333"/>
        </w:rPr>
        <w:t>In accordance with federal agency requirements for recurring instruction, the University requires researchers to repeat full RCR training every four years.</w:t>
      </w:r>
    </w:p>
    <w:p w:rsidR="009C7A7E" w:rsidRPr="00130472" w:rsidRDefault="006A7934" w:rsidP="00130472">
      <w:pPr>
        <w:spacing w:after="0" w:line="240" w:lineRule="auto"/>
        <w:ind w:left="-540" w:right="-540"/>
        <w:rPr>
          <w:rFonts w:ascii="Helvetica" w:eastAsia="Times New Roman" w:hAnsi="Helvetica" w:cs="Helvetica"/>
          <w:color w:val="333333"/>
        </w:rPr>
      </w:pPr>
      <w:r w:rsidRPr="007543BF">
        <w:rPr>
          <w:rFonts w:ascii="Helvetica" w:eastAsia="Times New Roman" w:hAnsi="Helvetica" w:cs="Helvetica"/>
          <w:b/>
          <w:bCs/>
          <w:color w:val="333333"/>
        </w:rPr>
        <w:t>Monitoring</w:t>
      </w:r>
      <w:r w:rsidR="004608AD">
        <w:rPr>
          <w:rFonts w:ascii="Helvetica" w:eastAsia="Times New Roman" w:hAnsi="Helvetica" w:cs="Helvetica"/>
          <w:color w:val="333333"/>
        </w:rPr>
        <w:t xml:space="preserve">. </w:t>
      </w:r>
      <w:r w:rsidRPr="006A7934">
        <w:rPr>
          <w:rFonts w:ascii="Helvetica" w:eastAsia="Times New Roman" w:hAnsi="Helvetica" w:cs="Helvetica"/>
          <w:color w:val="333333"/>
        </w:rPr>
        <w:t>Course completion and grades are an official institutional record.</w:t>
      </w:r>
      <w:r w:rsidR="004608AD">
        <w:rPr>
          <w:rFonts w:ascii="Helvetica" w:eastAsia="Times New Roman" w:hAnsi="Helvetica" w:cs="Helvetica"/>
          <w:color w:val="333333"/>
        </w:rPr>
        <w:t xml:space="preserve"> </w:t>
      </w:r>
      <w:r w:rsidRPr="006A7934">
        <w:rPr>
          <w:rFonts w:ascii="Helvetica" w:eastAsia="Times New Roman" w:hAnsi="Helvetica" w:cs="Helvetica"/>
          <w:color w:val="333333"/>
        </w:rPr>
        <w:t>For the RCR Seminar Series, the Office of Re</w:t>
      </w:r>
      <w:r w:rsidR="007C0A5A">
        <w:rPr>
          <w:rFonts w:ascii="Helvetica" w:eastAsia="Times New Roman" w:hAnsi="Helvetica" w:cs="Helvetica"/>
          <w:color w:val="333333"/>
        </w:rPr>
        <w:t>search Integrity and</w:t>
      </w:r>
      <w:r w:rsidRPr="006A7934">
        <w:rPr>
          <w:rFonts w:ascii="Helvetica" w:eastAsia="Times New Roman" w:hAnsi="Helvetica" w:cs="Helvetica"/>
          <w:color w:val="333333"/>
        </w:rPr>
        <w:t xml:space="preserve"> Compliance provides a Certificate of</w:t>
      </w:r>
      <w:r w:rsidR="007C0A5A">
        <w:rPr>
          <w:rFonts w:ascii="Helvetica" w:eastAsia="Times New Roman" w:hAnsi="Helvetica" w:cs="Helvetica"/>
          <w:color w:val="333333"/>
        </w:rPr>
        <w:t xml:space="preserve"> </w:t>
      </w:r>
      <w:r w:rsidRPr="006A7934">
        <w:rPr>
          <w:rFonts w:ascii="Helvetica" w:eastAsia="Times New Roman" w:hAnsi="Helvetica" w:cs="Helvetica"/>
          <w:color w:val="333333"/>
        </w:rPr>
        <w:t xml:space="preserve">Completion for completing the 8-hour </w:t>
      </w:r>
      <w:r w:rsidR="007C0A5A">
        <w:rPr>
          <w:rFonts w:ascii="Helvetica" w:eastAsia="Times New Roman" w:hAnsi="Helvetica" w:cs="Helvetica"/>
          <w:color w:val="333333"/>
        </w:rPr>
        <w:t xml:space="preserve">NIH </w:t>
      </w:r>
      <w:r w:rsidRPr="006A7934">
        <w:rPr>
          <w:rFonts w:ascii="Helvetica" w:eastAsia="Times New Roman" w:hAnsi="Helvetica" w:cs="Helvetica"/>
          <w:color w:val="333333"/>
        </w:rPr>
        <w:t>requirement</w:t>
      </w:r>
      <w:r w:rsidR="007C0A5A">
        <w:rPr>
          <w:rFonts w:ascii="Helvetica" w:eastAsia="Times New Roman" w:hAnsi="Helvetica" w:cs="Helvetica"/>
          <w:color w:val="333333"/>
        </w:rPr>
        <w:t xml:space="preserve"> or 4-hour NSF requirement.</w:t>
      </w:r>
    </w:p>
    <w:sectPr w:rsidR="009C7A7E" w:rsidRPr="00130472" w:rsidSect="004608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305"/>
    <w:multiLevelType w:val="multilevel"/>
    <w:tmpl w:val="22D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BD9"/>
    <w:multiLevelType w:val="multilevel"/>
    <w:tmpl w:val="791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8683E"/>
    <w:multiLevelType w:val="multilevel"/>
    <w:tmpl w:val="B14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A69AE"/>
    <w:multiLevelType w:val="multilevel"/>
    <w:tmpl w:val="EBE8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1014E"/>
    <w:multiLevelType w:val="multilevel"/>
    <w:tmpl w:val="8AC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C3AF5"/>
    <w:multiLevelType w:val="multilevel"/>
    <w:tmpl w:val="0F208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6076476"/>
    <w:multiLevelType w:val="multilevel"/>
    <w:tmpl w:val="8F1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D6CD5"/>
    <w:multiLevelType w:val="multilevel"/>
    <w:tmpl w:val="FAC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008B7"/>
    <w:multiLevelType w:val="multilevel"/>
    <w:tmpl w:val="05E09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34"/>
    <w:rsid w:val="0000426C"/>
    <w:rsid w:val="00070502"/>
    <w:rsid w:val="00130472"/>
    <w:rsid w:val="00140EF0"/>
    <w:rsid w:val="00401A9E"/>
    <w:rsid w:val="004608AD"/>
    <w:rsid w:val="004733FB"/>
    <w:rsid w:val="0047796C"/>
    <w:rsid w:val="005119FF"/>
    <w:rsid w:val="00524163"/>
    <w:rsid w:val="00556033"/>
    <w:rsid w:val="005B780B"/>
    <w:rsid w:val="006A3EBC"/>
    <w:rsid w:val="006A7934"/>
    <w:rsid w:val="00702F53"/>
    <w:rsid w:val="007543BF"/>
    <w:rsid w:val="007B1E60"/>
    <w:rsid w:val="007C0A5A"/>
    <w:rsid w:val="0081732B"/>
    <w:rsid w:val="009C7A7E"/>
    <w:rsid w:val="00A550D9"/>
    <w:rsid w:val="00A6236E"/>
    <w:rsid w:val="00A829C6"/>
    <w:rsid w:val="00AE1047"/>
    <w:rsid w:val="00B1522C"/>
    <w:rsid w:val="00B16943"/>
    <w:rsid w:val="00B335E8"/>
    <w:rsid w:val="00BC64A9"/>
    <w:rsid w:val="00DE71EB"/>
    <w:rsid w:val="00DF429A"/>
    <w:rsid w:val="00E06E8C"/>
    <w:rsid w:val="00E57AFF"/>
    <w:rsid w:val="00E90DE0"/>
    <w:rsid w:val="00EF1038"/>
    <w:rsid w:val="00F06C25"/>
    <w:rsid w:val="00F249A5"/>
    <w:rsid w:val="00FD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683C-78AF-4F23-A0D0-8ABFCEF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A7934"/>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934"/>
    <w:rPr>
      <w:rFonts w:ascii="inherit" w:eastAsia="Times New Roman" w:hAnsi="inherit" w:cs="Times New Roman"/>
      <w:sz w:val="36"/>
      <w:szCs w:val="36"/>
    </w:rPr>
  </w:style>
  <w:style w:type="character" w:styleId="Hyperlink">
    <w:name w:val="Hyperlink"/>
    <w:basedOn w:val="DefaultParagraphFont"/>
    <w:uiPriority w:val="99"/>
    <w:semiHidden/>
    <w:unhideWhenUsed/>
    <w:rsid w:val="006A7934"/>
    <w:rPr>
      <w:strike w:val="0"/>
      <w:dstrike w:val="0"/>
      <w:color w:val="428BCA"/>
      <w:u w:val="none"/>
      <w:effect w:val="none"/>
      <w:shd w:val="clear" w:color="auto" w:fill="auto"/>
    </w:rPr>
  </w:style>
  <w:style w:type="character" w:styleId="Strong">
    <w:name w:val="Strong"/>
    <w:basedOn w:val="DefaultParagraphFont"/>
    <w:uiPriority w:val="22"/>
    <w:qFormat/>
    <w:rsid w:val="006A7934"/>
    <w:rPr>
      <w:b/>
      <w:bCs/>
    </w:rPr>
  </w:style>
  <w:style w:type="paragraph" w:styleId="NormalWeb">
    <w:name w:val="Normal (Web)"/>
    <w:basedOn w:val="Normal"/>
    <w:uiPriority w:val="99"/>
    <w:semiHidden/>
    <w:unhideWhenUsed/>
    <w:rsid w:val="006A7934"/>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934"/>
    <w:rPr>
      <w:i/>
      <w:iCs/>
    </w:rPr>
  </w:style>
  <w:style w:type="paragraph" w:customStyle="1" w:styleId="Default">
    <w:name w:val="Default"/>
    <w:rsid w:val="00AE104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C0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6686">
      <w:bodyDiv w:val="1"/>
      <w:marLeft w:val="0"/>
      <w:marRight w:val="0"/>
      <w:marTop w:val="0"/>
      <w:marBottom w:val="0"/>
      <w:divBdr>
        <w:top w:val="none" w:sz="0" w:space="0" w:color="auto"/>
        <w:left w:val="none" w:sz="0" w:space="0" w:color="auto"/>
        <w:bottom w:val="none" w:sz="0" w:space="0" w:color="auto"/>
        <w:right w:val="none" w:sz="0" w:space="0" w:color="auto"/>
      </w:divBdr>
      <w:divsChild>
        <w:div w:id="58528570">
          <w:marLeft w:val="0"/>
          <w:marRight w:val="0"/>
          <w:marTop w:val="0"/>
          <w:marBottom w:val="0"/>
          <w:divBdr>
            <w:top w:val="none" w:sz="0" w:space="0" w:color="auto"/>
            <w:left w:val="none" w:sz="0" w:space="0" w:color="auto"/>
            <w:bottom w:val="none" w:sz="0" w:space="0" w:color="auto"/>
            <w:right w:val="none" w:sz="0" w:space="0" w:color="auto"/>
          </w:divBdr>
          <w:divsChild>
            <w:div w:id="1904874020">
              <w:marLeft w:val="0"/>
              <w:marRight w:val="0"/>
              <w:marTop w:val="0"/>
              <w:marBottom w:val="0"/>
              <w:divBdr>
                <w:top w:val="none" w:sz="0" w:space="0" w:color="auto"/>
                <w:left w:val="none" w:sz="0" w:space="0" w:color="auto"/>
                <w:bottom w:val="none" w:sz="0" w:space="0" w:color="auto"/>
                <w:right w:val="none" w:sz="0" w:space="0" w:color="auto"/>
              </w:divBdr>
              <w:divsChild>
                <w:div w:id="35204816">
                  <w:marLeft w:val="0"/>
                  <w:marRight w:val="0"/>
                  <w:marTop w:val="0"/>
                  <w:marBottom w:val="0"/>
                  <w:divBdr>
                    <w:top w:val="none" w:sz="0" w:space="0" w:color="auto"/>
                    <w:left w:val="none" w:sz="0" w:space="0" w:color="auto"/>
                    <w:bottom w:val="none" w:sz="0" w:space="0" w:color="auto"/>
                    <w:right w:val="none" w:sz="0" w:space="0" w:color="auto"/>
                  </w:divBdr>
                  <w:divsChild>
                    <w:div w:id="170490762">
                      <w:marLeft w:val="0"/>
                      <w:marRight w:val="0"/>
                      <w:marTop w:val="0"/>
                      <w:marBottom w:val="0"/>
                      <w:divBdr>
                        <w:top w:val="none" w:sz="0" w:space="0" w:color="auto"/>
                        <w:left w:val="none" w:sz="0" w:space="0" w:color="auto"/>
                        <w:bottom w:val="none" w:sz="0" w:space="0" w:color="auto"/>
                        <w:right w:val="none" w:sz="0" w:space="0" w:color="auto"/>
                      </w:divBdr>
                      <w:divsChild>
                        <w:div w:id="789470308">
                          <w:marLeft w:val="0"/>
                          <w:marRight w:val="0"/>
                          <w:marTop w:val="0"/>
                          <w:marBottom w:val="0"/>
                          <w:divBdr>
                            <w:top w:val="none" w:sz="0" w:space="0" w:color="auto"/>
                            <w:left w:val="none" w:sz="0" w:space="0" w:color="auto"/>
                            <w:bottom w:val="none" w:sz="0" w:space="0" w:color="auto"/>
                            <w:right w:val="none" w:sz="0" w:space="0" w:color="auto"/>
                          </w:divBdr>
                          <w:divsChild>
                            <w:div w:id="1235969536">
                              <w:marLeft w:val="0"/>
                              <w:marRight w:val="0"/>
                              <w:marTop w:val="0"/>
                              <w:marBottom w:val="0"/>
                              <w:divBdr>
                                <w:top w:val="none" w:sz="0" w:space="0" w:color="auto"/>
                                <w:left w:val="none" w:sz="0" w:space="0" w:color="auto"/>
                                <w:bottom w:val="none" w:sz="0" w:space="0" w:color="auto"/>
                                <w:right w:val="none" w:sz="0" w:space="0" w:color="auto"/>
                              </w:divBdr>
                              <w:divsChild>
                                <w:div w:id="857811816">
                                  <w:marLeft w:val="0"/>
                                  <w:marRight w:val="0"/>
                                  <w:marTop w:val="0"/>
                                  <w:marBottom w:val="0"/>
                                  <w:divBdr>
                                    <w:top w:val="none" w:sz="0" w:space="0" w:color="auto"/>
                                    <w:left w:val="none" w:sz="0" w:space="0" w:color="auto"/>
                                    <w:bottom w:val="none" w:sz="0" w:space="0" w:color="auto"/>
                                    <w:right w:val="none" w:sz="0" w:space="0" w:color="auto"/>
                                  </w:divBdr>
                                  <w:divsChild>
                                    <w:div w:id="1672024924">
                                      <w:marLeft w:val="-225"/>
                                      <w:marRight w:val="-225"/>
                                      <w:marTop w:val="0"/>
                                      <w:marBottom w:val="0"/>
                                      <w:divBdr>
                                        <w:top w:val="none" w:sz="0" w:space="0" w:color="auto"/>
                                        <w:left w:val="none" w:sz="0" w:space="0" w:color="auto"/>
                                        <w:bottom w:val="none" w:sz="0" w:space="0" w:color="auto"/>
                                        <w:right w:val="none" w:sz="0" w:space="0" w:color="auto"/>
                                      </w:divBdr>
                                      <w:divsChild>
                                        <w:div w:id="1192576588">
                                          <w:marLeft w:val="0"/>
                                          <w:marRight w:val="0"/>
                                          <w:marTop w:val="0"/>
                                          <w:marBottom w:val="0"/>
                                          <w:divBdr>
                                            <w:top w:val="none" w:sz="0" w:space="0" w:color="auto"/>
                                            <w:left w:val="none" w:sz="0" w:space="0" w:color="auto"/>
                                            <w:bottom w:val="none" w:sz="0" w:space="0" w:color="auto"/>
                                            <w:right w:val="none" w:sz="0" w:space="0" w:color="auto"/>
                                          </w:divBdr>
                                          <w:divsChild>
                                            <w:div w:id="1952711242">
                                              <w:marLeft w:val="0"/>
                                              <w:marRight w:val="0"/>
                                              <w:marTop w:val="0"/>
                                              <w:marBottom w:val="0"/>
                                              <w:divBdr>
                                                <w:top w:val="none" w:sz="0" w:space="0" w:color="auto"/>
                                                <w:left w:val="none" w:sz="0" w:space="0" w:color="auto"/>
                                                <w:bottom w:val="none" w:sz="0" w:space="0" w:color="auto"/>
                                                <w:right w:val="none" w:sz="0" w:space="0" w:color="auto"/>
                                              </w:divBdr>
                                              <w:divsChild>
                                                <w:div w:id="1375929717">
                                                  <w:marLeft w:val="0"/>
                                                  <w:marRight w:val="0"/>
                                                  <w:marTop w:val="0"/>
                                                  <w:marBottom w:val="0"/>
                                                  <w:divBdr>
                                                    <w:top w:val="none" w:sz="0" w:space="0" w:color="auto"/>
                                                    <w:left w:val="none" w:sz="0" w:space="0" w:color="auto"/>
                                                    <w:bottom w:val="none" w:sz="0" w:space="0" w:color="auto"/>
                                                    <w:right w:val="none" w:sz="0" w:space="0" w:color="auto"/>
                                                  </w:divBdr>
                                                  <w:divsChild>
                                                    <w:div w:id="1457065336">
                                                      <w:marLeft w:val="0"/>
                                                      <w:marRight w:val="0"/>
                                                      <w:marTop w:val="0"/>
                                                      <w:marBottom w:val="0"/>
                                                      <w:divBdr>
                                                        <w:top w:val="none" w:sz="0" w:space="0" w:color="auto"/>
                                                        <w:left w:val="none" w:sz="0" w:space="0" w:color="auto"/>
                                                        <w:bottom w:val="none" w:sz="0" w:space="0" w:color="auto"/>
                                                        <w:right w:val="none" w:sz="0" w:space="0" w:color="auto"/>
                                                      </w:divBdr>
                                                      <w:divsChild>
                                                        <w:div w:id="1994092304">
                                                          <w:marLeft w:val="0"/>
                                                          <w:marRight w:val="0"/>
                                                          <w:marTop w:val="0"/>
                                                          <w:marBottom w:val="0"/>
                                                          <w:divBdr>
                                                            <w:top w:val="none" w:sz="0" w:space="0" w:color="auto"/>
                                                            <w:left w:val="none" w:sz="0" w:space="0" w:color="auto"/>
                                                            <w:bottom w:val="none" w:sz="0" w:space="0" w:color="auto"/>
                                                            <w:right w:val="none" w:sz="0" w:space="0" w:color="auto"/>
                                                          </w:divBdr>
                                                          <w:divsChild>
                                                            <w:div w:id="641033763">
                                                              <w:marLeft w:val="0"/>
                                                              <w:marRight w:val="0"/>
                                                              <w:marTop w:val="0"/>
                                                              <w:marBottom w:val="0"/>
                                                              <w:divBdr>
                                                                <w:top w:val="none" w:sz="0" w:space="0" w:color="auto"/>
                                                                <w:left w:val="none" w:sz="0" w:space="0" w:color="auto"/>
                                                                <w:bottom w:val="none" w:sz="0" w:space="0" w:color="auto"/>
                                                                <w:right w:val="none" w:sz="0" w:space="0" w:color="auto"/>
                                                              </w:divBdr>
                                                              <w:divsChild>
                                                                <w:div w:id="190775370">
                                                                  <w:marLeft w:val="0"/>
                                                                  <w:marRight w:val="0"/>
                                                                  <w:marTop w:val="0"/>
                                                                  <w:marBottom w:val="0"/>
                                                                  <w:divBdr>
                                                                    <w:top w:val="none" w:sz="0" w:space="0" w:color="auto"/>
                                                                    <w:left w:val="none" w:sz="0" w:space="0" w:color="auto"/>
                                                                    <w:bottom w:val="none" w:sz="0" w:space="0" w:color="auto"/>
                                                                    <w:right w:val="none" w:sz="0" w:space="0" w:color="auto"/>
                                                                  </w:divBdr>
                                                                  <w:divsChild>
                                                                    <w:div w:id="136071420">
                                                                      <w:marLeft w:val="0"/>
                                                                      <w:marRight w:val="0"/>
                                                                      <w:marTop w:val="0"/>
                                                                      <w:marBottom w:val="0"/>
                                                                      <w:divBdr>
                                                                        <w:top w:val="none" w:sz="0" w:space="0" w:color="auto"/>
                                                                        <w:left w:val="none" w:sz="0" w:space="0" w:color="auto"/>
                                                                        <w:bottom w:val="none" w:sz="0" w:space="0" w:color="auto"/>
                                                                        <w:right w:val="none" w:sz="0" w:space="0" w:color="auto"/>
                                                                      </w:divBdr>
                                                                      <w:divsChild>
                                                                        <w:div w:id="8050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 E. Deborah</dc:creator>
  <cp:keywords/>
  <dc:description/>
  <cp:lastModifiedBy>Haberstroh, Robert William, III</cp:lastModifiedBy>
  <cp:revision>2</cp:revision>
  <dcterms:created xsi:type="dcterms:W3CDTF">2019-04-17T13:06:00Z</dcterms:created>
  <dcterms:modified xsi:type="dcterms:W3CDTF">2019-04-17T13:06:00Z</dcterms:modified>
</cp:coreProperties>
</file>